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4399"/>
      </w:tblGrid>
      <w:tr w:rsidR="00DB4129" w14:paraId="0E52B645" w14:textId="77777777" w:rsidTr="005B353B">
        <w:trPr>
          <w:trHeight w:hRule="exact" w:val="1882"/>
        </w:trPr>
        <w:tc>
          <w:tcPr>
            <w:tcW w:w="7518" w:type="dxa"/>
            <w:gridSpan w:val="2"/>
          </w:tcPr>
          <w:p w14:paraId="42FF4B08" w14:textId="08848AB4" w:rsidR="00057D20" w:rsidRDefault="00AC7F2C" w:rsidP="007F6CFF">
            <w:pPr>
              <w:pStyle w:val="Title"/>
              <w:jc w:val="both"/>
            </w:pPr>
            <w:r>
              <w:t>Local Heritage List</w:t>
            </w:r>
          </w:p>
          <w:p w14:paraId="56EE4826" w14:textId="3452D111" w:rsidR="00DB4129" w:rsidRPr="00DC6A7C" w:rsidRDefault="00E66E37" w:rsidP="007F6CFF">
            <w:pPr>
              <w:pStyle w:val="Subtitle"/>
              <w:jc w:val="both"/>
            </w:pPr>
            <w:r>
              <w:t>London Borough of Havering</w:t>
            </w:r>
            <w:r w:rsidR="00057D20" w:rsidRPr="00DC6A7C">
              <w:t xml:space="preserve"> </w:t>
            </w:r>
          </w:p>
        </w:tc>
      </w:tr>
      <w:tr w:rsidR="00DB4129" w:rsidRPr="00DB4129" w14:paraId="40FD766E" w14:textId="77777777" w:rsidTr="00E66E37">
        <w:trPr>
          <w:trHeight w:hRule="exact" w:val="1361"/>
        </w:trPr>
        <w:tc>
          <w:tcPr>
            <w:tcW w:w="3119" w:type="dxa"/>
          </w:tcPr>
          <w:p w14:paraId="16272E17" w14:textId="77777777" w:rsidR="00DB4129" w:rsidRPr="005A2B1C" w:rsidRDefault="00DC6A7C" w:rsidP="007F6CFF">
            <w:pPr>
              <w:jc w:val="both"/>
              <w:rPr>
                <w:b/>
              </w:rPr>
            </w:pPr>
            <w:r w:rsidRPr="005A2B1C">
              <w:rPr>
                <w:b/>
              </w:rPr>
              <w:t>Client</w:t>
            </w:r>
            <w:r w:rsidR="00DB4129" w:rsidRPr="005A2B1C">
              <w:rPr>
                <w:b/>
              </w:rPr>
              <w:t xml:space="preserve"> </w:t>
            </w:r>
          </w:p>
          <w:p w14:paraId="781FE498" w14:textId="3561C961" w:rsidR="00DB4129" w:rsidRPr="005A2B1C" w:rsidRDefault="00E66E37" w:rsidP="007F6CFF">
            <w:pPr>
              <w:jc w:val="both"/>
            </w:pPr>
            <w:bookmarkStart w:id="0" w:name="client"/>
            <w:r>
              <w:t>London Borough of Havering</w:t>
            </w:r>
            <w:r w:rsidR="00BD0ADC" w:rsidRPr="005A2B1C">
              <w:t xml:space="preserve"> </w:t>
            </w:r>
            <w:bookmarkEnd w:id="0"/>
          </w:p>
        </w:tc>
        <w:tc>
          <w:tcPr>
            <w:tcW w:w="4399" w:type="dxa"/>
          </w:tcPr>
          <w:p w14:paraId="7A919CEB" w14:textId="77777777" w:rsidR="00DB4129" w:rsidRPr="005A2B1C" w:rsidRDefault="00DB4129" w:rsidP="007F6CFF">
            <w:pPr>
              <w:jc w:val="both"/>
              <w:rPr>
                <w:b/>
              </w:rPr>
            </w:pPr>
            <w:r w:rsidRPr="005A2B1C">
              <w:rPr>
                <w:b/>
              </w:rPr>
              <w:t>Date:</w:t>
            </w:r>
          </w:p>
          <w:p w14:paraId="3F3DCD65" w14:textId="47D76700" w:rsidR="00DB4129" w:rsidRPr="005A2B1C" w:rsidRDefault="003509C8" w:rsidP="00AC7F2C">
            <w:pPr>
              <w:jc w:val="both"/>
            </w:pPr>
            <w:r>
              <w:t>September</w:t>
            </w:r>
            <w:r w:rsidR="00EE6AC8">
              <w:t xml:space="preserve"> </w:t>
            </w:r>
            <w:r w:rsidR="00E959E7" w:rsidRPr="008500C0">
              <w:t>20</w:t>
            </w:r>
            <w:r w:rsidR="00E7788A" w:rsidRPr="008500C0">
              <w:t>2</w:t>
            </w:r>
            <w:r w:rsidR="00E66E37">
              <w:t>3</w:t>
            </w:r>
          </w:p>
        </w:tc>
      </w:tr>
    </w:tbl>
    <w:p w14:paraId="56B53286" w14:textId="7AC21082" w:rsidR="009E714D" w:rsidRDefault="009E714D" w:rsidP="007F6CFF">
      <w:pPr>
        <w:pStyle w:val="BodyText"/>
        <w:jc w:val="both"/>
      </w:pPr>
    </w:p>
    <w:p w14:paraId="00603359" w14:textId="77777777" w:rsidR="009E714D" w:rsidRDefault="009E714D" w:rsidP="007F6CFF">
      <w:pPr>
        <w:pStyle w:val="BodyText"/>
        <w:jc w:val="both"/>
        <w:sectPr w:rsidR="009E714D" w:rsidSect="00853B53">
          <w:footerReference w:type="default" r:id="rId8"/>
          <w:headerReference w:type="first" r:id="rId9"/>
          <w:pgSz w:w="11906" w:h="16838" w:code="9"/>
          <w:pgMar w:top="567" w:right="680" w:bottom="1701" w:left="1361" w:header="425" w:footer="340" w:gutter="0"/>
          <w:cols w:space="708"/>
          <w:titlePg/>
          <w:docGrid w:linePitch="360"/>
        </w:sectPr>
      </w:pPr>
    </w:p>
    <w:p w14:paraId="059E89B2" w14:textId="77777777" w:rsidR="00DC6A7C" w:rsidRPr="00DC6A7C" w:rsidRDefault="00DC6A7C" w:rsidP="007F6CFF">
      <w:pPr>
        <w:pStyle w:val="ContentsStyle"/>
        <w:jc w:val="both"/>
      </w:pPr>
      <w:r>
        <w:lastRenderedPageBreak/>
        <w:t xml:space="preserve">Contents </w:t>
      </w:r>
    </w:p>
    <w:p w14:paraId="042E7972" w14:textId="65AA6D89" w:rsidR="000B1EF0" w:rsidRDefault="00DC6A7C">
      <w:pPr>
        <w:pStyle w:val="TOC1"/>
        <w:rPr>
          <w:rFonts w:eastAsiaTheme="minorEastAsia"/>
          <w:b w:val="0"/>
          <w:color w:val="auto"/>
          <w:spacing w:val="0"/>
          <w:sz w:val="22"/>
          <w:lang w:eastAsia="en-GB"/>
        </w:rPr>
      </w:pPr>
      <w:r>
        <w:rPr>
          <w:bCs/>
        </w:rPr>
        <w:fldChar w:fldCharType="begin"/>
      </w:r>
      <w:r>
        <w:rPr>
          <w:bCs/>
        </w:rPr>
        <w:instrText xml:space="preserve"> TOC \o "2-2" \t "Heading 1,1" </w:instrText>
      </w:r>
      <w:r>
        <w:rPr>
          <w:bCs/>
        </w:rPr>
        <w:fldChar w:fldCharType="separate"/>
      </w:r>
      <w:r w:rsidR="000B1EF0">
        <w:t>Introduction</w:t>
      </w:r>
      <w:r w:rsidR="000B1EF0">
        <w:tab/>
      </w:r>
      <w:r w:rsidR="000B1EF0">
        <w:fldChar w:fldCharType="begin"/>
      </w:r>
      <w:r w:rsidR="000B1EF0">
        <w:instrText xml:space="preserve"> PAGEREF _Toc21091047 \h </w:instrText>
      </w:r>
      <w:r w:rsidR="000B1EF0">
        <w:fldChar w:fldCharType="separate"/>
      </w:r>
      <w:r w:rsidR="0035061E">
        <w:t>3</w:t>
      </w:r>
      <w:r w:rsidR="000B1EF0">
        <w:fldChar w:fldCharType="end"/>
      </w:r>
    </w:p>
    <w:p w14:paraId="05F5C383" w14:textId="65882699" w:rsidR="000B1EF0" w:rsidRDefault="000B1EF0">
      <w:pPr>
        <w:pStyle w:val="TOC1"/>
        <w:rPr>
          <w:rFonts w:eastAsiaTheme="minorEastAsia"/>
          <w:b w:val="0"/>
          <w:color w:val="auto"/>
          <w:spacing w:val="0"/>
          <w:sz w:val="22"/>
          <w:lang w:eastAsia="en-GB"/>
        </w:rPr>
      </w:pPr>
      <w:r>
        <w:t>Methodology</w:t>
      </w:r>
      <w:r>
        <w:tab/>
      </w:r>
      <w:r>
        <w:fldChar w:fldCharType="begin"/>
      </w:r>
      <w:r>
        <w:instrText xml:space="preserve"> PAGEREF _Toc21091048 \h </w:instrText>
      </w:r>
      <w:r>
        <w:fldChar w:fldCharType="separate"/>
      </w:r>
      <w:r w:rsidR="0035061E">
        <w:t>5</w:t>
      </w:r>
      <w:r>
        <w:fldChar w:fldCharType="end"/>
      </w:r>
    </w:p>
    <w:p w14:paraId="2ADA6192" w14:textId="77777777" w:rsidR="00DC6A7C" w:rsidRDefault="00DC6A7C" w:rsidP="007F6CFF">
      <w:pPr>
        <w:jc w:val="both"/>
      </w:pPr>
      <w:r>
        <w:fldChar w:fldCharType="end"/>
      </w:r>
    </w:p>
    <w:p w14:paraId="16DDEDD7" w14:textId="77777777" w:rsidR="00697FEA" w:rsidRDefault="00697FEA" w:rsidP="007F6CFF">
      <w:pPr>
        <w:jc w:val="both"/>
      </w:pPr>
    </w:p>
    <w:p w14:paraId="4EBB32B5" w14:textId="77777777" w:rsidR="0086229F" w:rsidRDefault="0086229F" w:rsidP="007F6CFF">
      <w:pPr>
        <w:jc w:val="both"/>
      </w:pPr>
    </w:p>
    <w:p w14:paraId="7E951EA5" w14:textId="77777777" w:rsidR="0086229F" w:rsidRDefault="0086229F" w:rsidP="007F6CFF">
      <w:pPr>
        <w:jc w:val="both"/>
      </w:pPr>
    </w:p>
    <w:p w14:paraId="39C5986D" w14:textId="77777777" w:rsidR="0086229F" w:rsidRDefault="0086229F" w:rsidP="007F6CFF">
      <w:pPr>
        <w:jc w:val="both"/>
      </w:pPr>
    </w:p>
    <w:p w14:paraId="6C756A6E" w14:textId="77777777" w:rsidR="0086229F" w:rsidRDefault="0086229F" w:rsidP="007F6CFF">
      <w:pPr>
        <w:jc w:val="both"/>
      </w:pPr>
    </w:p>
    <w:p w14:paraId="39008645" w14:textId="77777777" w:rsidR="0086229F" w:rsidRPr="00057E17" w:rsidRDefault="0086229F" w:rsidP="007F6CFF">
      <w:pPr>
        <w:jc w:val="both"/>
        <w:sectPr w:rsidR="0086229F" w:rsidRPr="00057E17" w:rsidSect="00522C7D">
          <w:headerReference w:type="first" r:id="rId10"/>
          <w:footerReference w:type="first" r:id="rId11"/>
          <w:pgSz w:w="11906" w:h="16838" w:code="9"/>
          <w:pgMar w:top="1899" w:right="680" w:bottom="1304" w:left="1361" w:header="652" w:footer="340" w:gutter="0"/>
          <w:cols w:space="708"/>
          <w:titlePg/>
          <w:docGrid w:linePitch="360"/>
        </w:sectPr>
      </w:pPr>
    </w:p>
    <w:p w14:paraId="4720DC2F" w14:textId="77777777" w:rsidR="0066177F" w:rsidRDefault="0066177F" w:rsidP="007F6CFF">
      <w:pPr>
        <w:pStyle w:val="Heading1"/>
        <w:jc w:val="both"/>
      </w:pPr>
      <w:bookmarkStart w:id="3" w:name="_Toc21091047"/>
      <w:r>
        <w:lastRenderedPageBreak/>
        <w:t>Introduction</w:t>
      </w:r>
      <w:bookmarkEnd w:id="3"/>
    </w:p>
    <w:p w14:paraId="3726C40F" w14:textId="77777777" w:rsidR="008E59BA" w:rsidRDefault="008E59BA" w:rsidP="007F6CFF">
      <w:pPr>
        <w:pStyle w:val="Heading3"/>
        <w:jc w:val="both"/>
        <w:rPr>
          <w:b/>
          <w:sz w:val="22"/>
        </w:rPr>
      </w:pPr>
    </w:p>
    <w:p w14:paraId="73A1A70D" w14:textId="1CD3DA4C" w:rsidR="00AC7F2C" w:rsidRPr="000B1EF0" w:rsidRDefault="00AC7F2C" w:rsidP="00206A4B">
      <w:pPr>
        <w:pStyle w:val="Heading3"/>
        <w:jc w:val="both"/>
      </w:pPr>
      <w:r w:rsidRPr="000B1EF0">
        <w:rPr>
          <w:rFonts w:cstheme="majorHAnsi"/>
          <w:b/>
          <w:sz w:val="22"/>
        </w:rPr>
        <w:t>Local Heritage Lists</w:t>
      </w:r>
    </w:p>
    <w:p w14:paraId="5CBA94F9" w14:textId="360AD6EE" w:rsidR="009F2E57" w:rsidRPr="000B1EF0" w:rsidRDefault="00E86CFE" w:rsidP="00206A4B">
      <w:pPr>
        <w:pStyle w:val="BodyTextBold"/>
      </w:pPr>
      <w:r>
        <w:t>T</w:t>
      </w:r>
      <w:r w:rsidR="00AC7F2C" w:rsidRPr="000B1EF0">
        <w:t>he National Planning Policy Framework (</w:t>
      </w:r>
      <w:r w:rsidR="00B10F68">
        <w:t>2021</w:t>
      </w:r>
      <w:r w:rsidR="00AC7F2C" w:rsidRPr="000B1EF0">
        <w:t xml:space="preserve">, Para. </w:t>
      </w:r>
      <w:r w:rsidR="00CC0997">
        <w:t>189</w:t>
      </w:r>
      <w:r w:rsidR="00AC7F2C" w:rsidRPr="000B1EF0">
        <w:t>)</w:t>
      </w:r>
      <w:r>
        <w:t xml:space="preserve"> outlines that</w:t>
      </w:r>
      <w:r w:rsidR="00AC7F2C" w:rsidRPr="000B1EF0">
        <w:t xml:space="preserve"> heritage assets range from sites and buildings of local historic value to those of the highest significance, such as World Heritage Sites which are internationally recognised to be of Outstanding Universal Value. These assets are an irreplaceable resource, and should be conserved in a manner appropriate to their significance, so that they can be enjoyed for their contribution to the quality of life of existing and future </w:t>
      </w:r>
      <w:proofErr w:type="gramStart"/>
      <w:r w:rsidR="00AC7F2C" w:rsidRPr="000B1EF0">
        <w:t>generations</w:t>
      </w:r>
      <w:proofErr w:type="gramEnd"/>
    </w:p>
    <w:p w14:paraId="6C0CE037" w14:textId="77777777" w:rsidR="009F2E57" w:rsidRPr="000B1EF0" w:rsidRDefault="009F2E57" w:rsidP="00206A4B">
      <w:pPr>
        <w:pStyle w:val="BodyTextBold"/>
      </w:pPr>
    </w:p>
    <w:p w14:paraId="329ADA04" w14:textId="77777777" w:rsidR="009F2E57" w:rsidRPr="000B1EF0" w:rsidRDefault="009F2E57" w:rsidP="00206A4B">
      <w:pPr>
        <w:pStyle w:val="BodyTextBold"/>
        <w:rPr>
          <w:shd w:val="clear" w:color="auto" w:fill="FFFFFF"/>
        </w:rPr>
      </w:pPr>
      <w:r w:rsidRPr="000B1EF0">
        <w:t>N</w:t>
      </w:r>
      <w:r w:rsidRPr="000B1EF0">
        <w:rPr>
          <w:shd w:val="clear" w:color="auto" w:fill="FFFFFF"/>
        </w:rPr>
        <w:t xml:space="preserve">on-designated heritage assets are buildings, monuments, sites, places, areas or landscapes identified as having a degree of heritage significance meriting consideration in planning </w:t>
      </w:r>
      <w:proofErr w:type="gramStart"/>
      <w:r w:rsidRPr="000B1EF0">
        <w:rPr>
          <w:shd w:val="clear" w:color="auto" w:fill="FFFFFF"/>
        </w:rPr>
        <w:t>decisions</w:t>
      </w:r>
      <w:proofErr w:type="gramEnd"/>
      <w:r w:rsidRPr="000B1EF0">
        <w:rPr>
          <w:shd w:val="clear" w:color="auto" w:fill="FFFFFF"/>
        </w:rPr>
        <w:t xml:space="preserve"> but which do not meet the criteria for designated heritage assets</w:t>
      </w:r>
      <w:r w:rsidRPr="000B1EF0">
        <w:rPr>
          <w:rStyle w:val="FootnoteReference"/>
          <w:rFonts w:cstheme="majorHAnsi"/>
          <w:shd w:val="clear" w:color="auto" w:fill="FFFFFF"/>
        </w:rPr>
        <w:footnoteReference w:id="1"/>
      </w:r>
      <w:r w:rsidRPr="000B1EF0">
        <w:rPr>
          <w:shd w:val="clear" w:color="auto" w:fill="FFFFFF"/>
        </w:rPr>
        <w:t>.</w:t>
      </w:r>
    </w:p>
    <w:p w14:paraId="75EE22A9" w14:textId="77777777" w:rsidR="00206A4B" w:rsidRPr="000B1EF0" w:rsidRDefault="00206A4B" w:rsidP="00206A4B">
      <w:pPr>
        <w:pStyle w:val="BodyTextBold"/>
        <w:rPr>
          <w:shd w:val="clear" w:color="auto" w:fill="FFFFFF"/>
        </w:rPr>
      </w:pPr>
    </w:p>
    <w:p w14:paraId="5FA45B91" w14:textId="1BC16D6D" w:rsidR="009F2E57" w:rsidRDefault="00E34141" w:rsidP="00206A4B">
      <w:pPr>
        <w:pStyle w:val="BodyTextBold"/>
        <w:rPr>
          <w:shd w:val="clear" w:color="auto" w:fill="FFFFFF"/>
        </w:rPr>
      </w:pPr>
      <w:r w:rsidRPr="000B1EF0">
        <w:t>Local heritage listing is a means for communit</w:t>
      </w:r>
      <w:r w:rsidR="00EE6AC8">
        <w:t>ies</w:t>
      </w:r>
      <w:r w:rsidRPr="000B1EF0">
        <w:t xml:space="preserve"> and a local planning authority to identify heritage assets that are valued as distinctive elements of the local historic environment. It provides clarity on the location of assets and what it is about them that is significant, helping to ensure that strategic local planning properly takes account of the desirability of their conservation. Sometimes it may also help </w:t>
      </w:r>
      <w:r w:rsidR="009148C4">
        <w:t xml:space="preserve">to </w:t>
      </w:r>
      <w:r w:rsidRPr="000B1EF0">
        <w:t xml:space="preserve">identify </w:t>
      </w:r>
      <w:r w:rsidR="009148C4">
        <w:t>ad</w:t>
      </w:r>
      <w:r w:rsidR="00EE6AC8">
        <w:t>di</w:t>
      </w:r>
      <w:r w:rsidR="009148C4">
        <w:t>t</w:t>
      </w:r>
      <w:r w:rsidR="00EE6AC8">
        <w:t>io</w:t>
      </w:r>
      <w:r w:rsidR="009148C4">
        <w:t xml:space="preserve">nal </w:t>
      </w:r>
      <w:r w:rsidRPr="000B1EF0">
        <w:t>assets of high significance, which may warrant consideration for designation at the national level. The process of preparing a local heritage list not only allows communities to identify local heritage that</w:t>
      </w:r>
      <w:r w:rsidR="007A5B15">
        <w:t xml:space="preserve"> they would like recognised and </w:t>
      </w:r>
      <w:r w:rsidRPr="000B1EF0">
        <w:t>protected, but it is also an opportunity for local authorities and communities to work in partnership. Creating a local heritage list</w:t>
      </w:r>
      <w:r w:rsidR="009148C4">
        <w:t xml:space="preserve"> </w:t>
      </w:r>
      <w:r w:rsidRPr="000B1EF0">
        <w:t xml:space="preserve">helps to improve access to clear, </w:t>
      </w:r>
      <w:proofErr w:type="gramStart"/>
      <w:r w:rsidRPr="000B1EF0">
        <w:t>comprehensive</w:t>
      </w:r>
      <w:proofErr w:type="gramEnd"/>
      <w:r w:rsidRPr="000B1EF0">
        <w:t xml:space="preserve"> and current information about the historic environment at the local level through resources such as Historic Environment Records (HERs) which can speed up the planning process</w:t>
      </w:r>
      <w:r w:rsidR="009F2E57" w:rsidRPr="000B1EF0">
        <w:rPr>
          <w:rStyle w:val="FootnoteReference"/>
          <w:rFonts w:cstheme="majorHAnsi"/>
          <w:shd w:val="clear" w:color="auto" w:fill="FFFFFF"/>
        </w:rPr>
        <w:footnoteReference w:id="2"/>
      </w:r>
      <w:r w:rsidR="009F2E57" w:rsidRPr="000B1EF0">
        <w:rPr>
          <w:shd w:val="clear" w:color="auto" w:fill="FFFFFF"/>
        </w:rPr>
        <w:t>.</w:t>
      </w:r>
      <w:r w:rsidR="00EB28F0">
        <w:rPr>
          <w:shd w:val="clear" w:color="auto" w:fill="FFFFFF"/>
        </w:rPr>
        <w:t xml:space="preserve"> The local list would be provided to the Greater London Historic Environment Record (GLHER</w:t>
      </w:r>
      <w:proofErr w:type="gramStart"/>
      <w:r w:rsidR="00EB28F0">
        <w:rPr>
          <w:shd w:val="clear" w:color="auto" w:fill="FFFFFF"/>
        </w:rPr>
        <w:t>)</w:t>
      </w:r>
      <w:proofErr w:type="gramEnd"/>
      <w:r w:rsidR="00EB28F0">
        <w:rPr>
          <w:shd w:val="clear" w:color="auto" w:fill="FFFFFF"/>
        </w:rPr>
        <w:t xml:space="preserve"> so it forms part of wider datasets which are typically consulted during the planning process. </w:t>
      </w:r>
    </w:p>
    <w:p w14:paraId="18A8BAA7" w14:textId="77777777" w:rsidR="00626843" w:rsidRPr="00626843" w:rsidRDefault="00626843" w:rsidP="00626843"/>
    <w:p w14:paraId="3692BA27" w14:textId="4634BF38" w:rsidR="00E34141" w:rsidRPr="00206A4B" w:rsidRDefault="00E34141" w:rsidP="00206A4B">
      <w:pPr>
        <w:pStyle w:val="Heading3"/>
        <w:jc w:val="both"/>
        <w:rPr>
          <w:rFonts w:cstheme="majorHAnsi"/>
          <w:sz w:val="22"/>
          <w:shd w:val="clear" w:color="auto" w:fill="FFFFFF"/>
        </w:rPr>
      </w:pPr>
      <w:r w:rsidRPr="000B1EF0">
        <w:rPr>
          <w:rFonts w:cstheme="majorHAnsi"/>
          <w:b/>
          <w:sz w:val="22"/>
        </w:rPr>
        <w:t>Project Aims</w:t>
      </w:r>
    </w:p>
    <w:p w14:paraId="47B22A35" w14:textId="196C9115" w:rsidR="007753B5" w:rsidRDefault="00875519" w:rsidP="00206A4B">
      <w:pPr>
        <w:pStyle w:val="BodyTextBold"/>
        <w:rPr>
          <w:shd w:val="clear" w:color="auto" w:fill="FFFFFF"/>
        </w:rPr>
      </w:pPr>
      <w:r w:rsidRPr="00875519">
        <w:rPr>
          <w:shd w:val="clear" w:color="auto" w:fill="FFFFFF"/>
        </w:rPr>
        <w:t>In 2023</w:t>
      </w:r>
      <w:r w:rsidR="003424E9">
        <w:rPr>
          <w:shd w:val="clear" w:color="auto" w:fill="FFFFFF"/>
        </w:rPr>
        <w:t>,</w:t>
      </w:r>
      <w:r w:rsidRPr="00875519">
        <w:rPr>
          <w:shd w:val="clear" w:color="auto" w:fill="FFFFFF"/>
        </w:rPr>
        <w:t xml:space="preserve"> the London Borough of Havering commissioned Place Services to undertake a review of the existing Local </w:t>
      </w:r>
      <w:r w:rsidRPr="007A5B15">
        <w:rPr>
          <w:shd w:val="clear" w:color="auto" w:fill="FFFFFF"/>
        </w:rPr>
        <w:t xml:space="preserve">List. </w:t>
      </w:r>
      <w:r w:rsidR="007A5B15" w:rsidRPr="00A271AD">
        <w:t>Thi</w:t>
      </w:r>
      <w:r w:rsidR="003424E9">
        <w:t>s</w:t>
      </w:r>
      <w:r w:rsidR="007A5B15" w:rsidRPr="00A271AD">
        <w:t xml:space="preserve"> start</w:t>
      </w:r>
      <w:r w:rsidR="00DE0475">
        <w:t>ed</w:t>
      </w:r>
      <w:r w:rsidR="007A5B15" w:rsidRPr="00A271AD">
        <w:t xml:space="preserve"> with </w:t>
      </w:r>
      <w:r w:rsidR="000B4B2F">
        <w:t xml:space="preserve">setting </w:t>
      </w:r>
      <w:r w:rsidR="007A5B15" w:rsidRPr="00A271AD">
        <w:t xml:space="preserve">criteria for assessing local listing. </w:t>
      </w:r>
      <w:r w:rsidR="000B4B2F">
        <w:t>The draft criteria</w:t>
      </w:r>
      <w:r w:rsidR="00DE0475">
        <w:t xml:space="preserve"> were</w:t>
      </w:r>
      <w:r w:rsidR="000B4B2F">
        <w:t xml:space="preserve"> subjec</w:t>
      </w:r>
      <w:r w:rsidR="001A17F1">
        <w:t xml:space="preserve">t to public consultation from </w:t>
      </w:r>
      <w:r w:rsidR="00DE0475">
        <w:t>29</w:t>
      </w:r>
      <w:r w:rsidR="00DE0475" w:rsidRPr="00DE0475">
        <w:rPr>
          <w:vertAlign w:val="superscript"/>
        </w:rPr>
        <w:t>th</w:t>
      </w:r>
      <w:r w:rsidR="00DE0475">
        <w:t xml:space="preserve"> </w:t>
      </w:r>
      <w:r w:rsidR="000B4B2F">
        <w:t xml:space="preserve">June 2023 to </w:t>
      </w:r>
      <w:r w:rsidR="00DE0475">
        <w:t>10</w:t>
      </w:r>
      <w:r w:rsidR="00DE0475" w:rsidRPr="00DE0475">
        <w:rPr>
          <w:vertAlign w:val="superscript"/>
        </w:rPr>
        <w:t>th</w:t>
      </w:r>
      <w:r w:rsidR="00DE0475">
        <w:t xml:space="preserve"> </w:t>
      </w:r>
      <w:r w:rsidR="000B4B2F">
        <w:t>August 2023</w:t>
      </w:r>
      <w:r w:rsidR="00DE0475">
        <w:t xml:space="preserve"> and were amended based on the comments received</w:t>
      </w:r>
      <w:r w:rsidR="000B4B2F">
        <w:t xml:space="preserve">.  </w:t>
      </w:r>
      <w:r w:rsidR="007A5B15" w:rsidRPr="00A271AD">
        <w:t>Following</w:t>
      </w:r>
      <w:r w:rsidR="000B4B2F">
        <w:t xml:space="preserve"> th</w:t>
      </w:r>
      <w:r w:rsidR="00DE0475">
        <w:t>is</w:t>
      </w:r>
      <w:r w:rsidR="000B4B2F">
        <w:t xml:space="preserve"> consultation and agreement on the proposed</w:t>
      </w:r>
      <w:r w:rsidR="007A5B15" w:rsidRPr="00A271AD">
        <w:t xml:space="preserve"> criteria,</w:t>
      </w:r>
      <w:r w:rsidR="00A271AD">
        <w:t xml:space="preserve"> the sites on the existing Local List will be assessed against this criteria and</w:t>
      </w:r>
      <w:r w:rsidR="007A5B15" w:rsidRPr="00A271AD">
        <w:t xml:space="preserve"> </w:t>
      </w:r>
      <w:r w:rsidRPr="007A5B15">
        <w:rPr>
          <w:shd w:val="clear" w:color="auto" w:fill="FFFFFF"/>
        </w:rPr>
        <w:t xml:space="preserve">members </w:t>
      </w:r>
      <w:r w:rsidRPr="006243A3">
        <w:rPr>
          <w:shd w:val="clear" w:color="auto" w:fill="FFFFFF"/>
        </w:rPr>
        <w:t xml:space="preserve">of the public and other </w:t>
      </w:r>
      <w:r w:rsidRPr="006243A3">
        <w:rPr>
          <w:shd w:val="clear" w:color="auto" w:fill="FFFFFF"/>
        </w:rPr>
        <w:lastRenderedPageBreak/>
        <w:t xml:space="preserve">interested parties will be asked to </w:t>
      </w:r>
      <w:proofErr w:type="gramStart"/>
      <w:r w:rsidRPr="006243A3">
        <w:rPr>
          <w:shd w:val="clear" w:color="auto" w:fill="FFFFFF"/>
        </w:rPr>
        <w:t>nominate  buildings</w:t>
      </w:r>
      <w:proofErr w:type="gramEnd"/>
      <w:r w:rsidRPr="006243A3">
        <w:rPr>
          <w:shd w:val="clear" w:color="auto" w:fill="FFFFFF"/>
        </w:rPr>
        <w:t>, monuments, sites, places</w:t>
      </w:r>
      <w:r w:rsidRPr="00875519">
        <w:rPr>
          <w:shd w:val="clear" w:color="auto" w:fill="FFFFFF"/>
        </w:rPr>
        <w:t>, areas and landscapes of local interest</w:t>
      </w:r>
      <w:r w:rsidR="007A5B15">
        <w:rPr>
          <w:shd w:val="clear" w:color="auto" w:fill="FFFFFF"/>
        </w:rPr>
        <w:t>.</w:t>
      </w:r>
      <w:r w:rsidR="00A271AD">
        <w:rPr>
          <w:shd w:val="clear" w:color="auto" w:fill="FFFFFF"/>
        </w:rPr>
        <w:t xml:space="preserve"> </w:t>
      </w:r>
      <w:r w:rsidR="007A5B15">
        <w:rPr>
          <w:shd w:val="clear" w:color="auto" w:fill="FFFFFF"/>
        </w:rPr>
        <w:t xml:space="preserve">Nominations </w:t>
      </w:r>
      <w:r w:rsidRPr="00875519">
        <w:rPr>
          <w:shd w:val="clear" w:color="auto" w:fill="FFFFFF"/>
        </w:rPr>
        <w:t xml:space="preserve">will be assessed to determine whether they merit inclusion in </w:t>
      </w:r>
      <w:r w:rsidR="007A5B15">
        <w:rPr>
          <w:shd w:val="clear" w:color="auto" w:fill="FFFFFF"/>
        </w:rPr>
        <w:t>the</w:t>
      </w:r>
      <w:r w:rsidR="00A271AD">
        <w:rPr>
          <w:shd w:val="clear" w:color="auto" w:fill="FFFFFF"/>
        </w:rPr>
        <w:t xml:space="preserve"> </w:t>
      </w:r>
      <w:r w:rsidRPr="00875519">
        <w:rPr>
          <w:shd w:val="clear" w:color="auto" w:fill="FFFFFF"/>
        </w:rPr>
        <w:t>Local Heritage List.</w:t>
      </w:r>
      <w:r w:rsidR="000B4B2F">
        <w:rPr>
          <w:shd w:val="clear" w:color="auto" w:fill="FFFFFF"/>
        </w:rPr>
        <w:t xml:space="preserve"> The nominations period will take place in September once the criteria have been </w:t>
      </w:r>
      <w:proofErr w:type="gramStart"/>
      <w:r w:rsidR="000B4B2F">
        <w:rPr>
          <w:shd w:val="clear" w:color="auto" w:fill="FFFFFF"/>
        </w:rPr>
        <w:t>finalised</w:t>
      </w:r>
      <w:proofErr w:type="gramEnd"/>
      <w:r w:rsidR="000B4B2F">
        <w:rPr>
          <w:shd w:val="clear" w:color="auto" w:fill="FFFFFF"/>
        </w:rPr>
        <w:t xml:space="preserve">  </w:t>
      </w:r>
    </w:p>
    <w:p w14:paraId="5586E17A" w14:textId="77777777" w:rsidR="00875519" w:rsidRPr="00875519" w:rsidRDefault="00875519" w:rsidP="00206A4B">
      <w:pPr>
        <w:pStyle w:val="BodyTextBold"/>
      </w:pPr>
    </w:p>
    <w:p w14:paraId="3D43EF26" w14:textId="263F8EBC" w:rsidR="00915EE0" w:rsidRDefault="00E34141" w:rsidP="00206A4B">
      <w:pPr>
        <w:pStyle w:val="BodyTextBold"/>
        <w:rPr>
          <w:shd w:val="clear" w:color="auto" w:fill="FFFFFF"/>
        </w:rPr>
      </w:pPr>
      <w:r w:rsidRPr="007753B5">
        <w:rPr>
          <w:shd w:val="clear" w:color="auto" w:fill="FFFFFF"/>
        </w:rPr>
        <w:t xml:space="preserve">This project will assist </w:t>
      </w:r>
      <w:r w:rsidR="007A5B15">
        <w:rPr>
          <w:shd w:val="clear" w:color="auto" w:fill="FFFFFF"/>
        </w:rPr>
        <w:t xml:space="preserve">the </w:t>
      </w:r>
      <w:r w:rsidR="004E1C44">
        <w:rPr>
          <w:shd w:val="clear" w:color="auto" w:fill="FFFFFF"/>
        </w:rPr>
        <w:t>London Borough of Havering</w:t>
      </w:r>
      <w:r w:rsidRPr="007753B5">
        <w:rPr>
          <w:shd w:val="clear" w:color="auto" w:fill="FFFFFF"/>
        </w:rPr>
        <w:t xml:space="preserve"> </w:t>
      </w:r>
      <w:r w:rsidR="007A5B15">
        <w:rPr>
          <w:shd w:val="clear" w:color="auto" w:fill="FFFFFF"/>
        </w:rPr>
        <w:t xml:space="preserve">to </w:t>
      </w:r>
      <w:r w:rsidR="009F2E57" w:rsidRPr="007753B5">
        <w:rPr>
          <w:shd w:val="clear" w:color="auto" w:fill="FFFFFF"/>
        </w:rPr>
        <w:t xml:space="preserve">make clear and </w:t>
      </w:r>
      <w:r w:rsidR="009148C4" w:rsidRPr="007753B5">
        <w:rPr>
          <w:shd w:val="clear" w:color="auto" w:fill="FFFFFF"/>
        </w:rPr>
        <w:t xml:space="preserve">current </w:t>
      </w:r>
      <w:r w:rsidR="009F2E57" w:rsidRPr="007753B5">
        <w:rPr>
          <w:shd w:val="clear" w:color="auto" w:fill="FFFFFF"/>
        </w:rPr>
        <w:t xml:space="preserve">information on non-designated heritage assets accessible to the public </w:t>
      </w:r>
      <w:r w:rsidRPr="007753B5">
        <w:rPr>
          <w:shd w:val="clear" w:color="auto" w:fill="FFFFFF"/>
        </w:rPr>
        <w:t xml:space="preserve">and </w:t>
      </w:r>
      <w:r w:rsidR="008E59BA" w:rsidRPr="007753B5">
        <w:rPr>
          <w:shd w:val="clear" w:color="auto" w:fill="FFFFFF"/>
        </w:rPr>
        <w:t>thereby</w:t>
      </w:r>
      <w:r w:rsidR="009F2E57" w:rsidRPr="007753B5">
        <w:rPr>
          <w:shd w:val="clear" w:color="auto" w:fill="FFFFFF"/>
        </w:rPr>
        <w:t xml:space="preserve"> provide greater clarity and certainty for developers and dec</w:t>
      </w:r>
      <w:r w:rsidR="008E59BA" w:rsidRPr="007753B5">
        <w:rPr>
          <w:shd w:val="clear" w:color="auto" w:fill="FFFFFF"/>
        </w:rPr>
        <w:t>ision-makers.</w:t>
      </w:r>
    </w:p>
    <w:p w14:paraId="1801D1E6" w14:textId="77777777" w:rsidR="00626843" w:rsidRPr="00626843" w:rsidRDefault="00626843" w:rsidP="00626843"/>
    <w:p w14:paraId="646B7127" w14:textId="6658FA8D" w:rsidR="00ED44AF" w:rsidRDefault="00282F01" w:rsidP="00ED44AF">
      <w:pPr>
        <w:pStyle w:val="Heading3"/>
        <w:jc w:val="both"/>
        <w:rPr>
          <w:rFonts w:cstheme="majorHAnsi"/>
          <w:b/>
          <w:sz w:val="22"/>
        </w:rPr>
      </w:pPr>
      <w:r>
        <w:rPr>
          <w:rFonts w:cstheme="majorHAnsi"/>
          <w:b/>
          <w:sz w:val="22"/>
        </w:rPr>
        <w:t xml:space="preserve">Consultation and Adoption </w:t>
      </w:r>
    </w:p>
    <w:p w14:paraId="4C7B4111" w14:textId="51AA5CD0" w:rsidR="00206A4B" w:rsidRDefault="006243A3" w:rsidP="00206A4B">
      <w:pPr>
        <w:pStyle w:val="BodyTextBold"/>
      </w:pPr>
      <w:r w:rsidRPr="00A271AD">
        <w:t>Consultation on the assessmen</w:t>
      </w:r>
      <w:r w:rsidR="001A17F1">
        <w:t xml:space="preserve">t criteria </w:t>
      </w:r>
      <w:r w:rsidR="00DE0475">
        <w:t>took</w:t>
      </w:r>
      <w:r w:rsidR="001A17F1">
        <w:t xml:space="preserve"> place </w:t>
      </w:r>
      <w:r w:rsidR="00DE0475">
        <w:t>between</w:t>
      </w:r>
      <w:r w:rsidR="001A17F1">
        <w:t xml:space="preserve"> </w:t>
      </w:r>
      <w:r w:rsidR="00DE0475">
        <w:t>29</w:t>
      </w:r>
      <w:r w:rsidR="00DE0475" w:rsidRPr="00DE0475">
        <w:rPr>
          <w:vertAlign w:val="superscript"/>
        </w:rPr>
        <w:t>th</w:t>
      </w:r>
      <w:r w:rsidR="000B4B2F">
        <w:t xml:space="preserve"> June</w:t>
      </w:r>
      <w:r w:rsidRPr="000B4B2F">
        <w:t xml:space="preserve"> </w:t>
      </w:r>
      <w:r w:rsidR="00DE0475">
        <w:t>and</w:t>
      </w:r>
      <w:r w:rsidR="00EA06D8" w:rsidRPr="000B4B2F">
        <w:t xml:space="preserve"> </w:t>
      </w:r>
      <w:r w:rsidR="00DE0475">
        <w:t>10</w:t>
      </w:r>
      <w:r w:rsidR="00DE0475" w:rsidRPr="00DE0475">
        <w:rPr>
          <w:vertAlign w:val="superscript"/>
        </w:rPr>
        <w:t>th</w:t>
      </w:r>
      <w:r w:rsidR="00DE0475">
        <w:t xml:space="preserve"> </w:t>
      </w:r>
      <w:r w:rsidR="00EA06D8" w:rsidRPr="000B4B2F">
        <w:t>August</w:t>
      </w:r>
      <w:r w:rsidRPr="00A271AD">
        <w:t xml:space="preserve"> 2023</w:t>
      </w:r>
      <w:r w:rsidR="00DE0475">
        <w:t xml:space="preserve"> and the criteria has been amended based on the comments received</w:t>
      </w:r>
      <w:r w:rsidR="00206A4B">
        <w:t>.</w:t>
      </w:r>
    </w:p>
    <w:p w14:paraId="46FC1A8D" w14:textId="77777777" w:rsidR="00206A4B" w:rsidRDefault="00206A4B" w:rsidP="00206A4B">
      <w:pPr>
        <w:pStyle w:val="BodyTextBold"/>
      </w:pPr>
    </w:p>
    <w:p w14:paraId="46625D15" w14:textId="6C278934" w:rsidR="00ED44AF" w:rsidRPr="00ED44AF" w:rsidRDefault="00A271AD" w:rsidP="00206A4B">
      <w:pPr>
        <w:pStyle w:val="BodyTextBold"/>
        <w:rPr>
          <w:bCs/>
        </w:rPr>
        <w:sectPr w:rsidR="00ED44AF" w:rsidRPr="00ED44AF" w:rsidSect="00522C7D">
          <w:pgSz w:w="11906" w:h="16838" w:code="9"/>
          <w:pgMar w:top="1899" w:right="680" w:bottom="1304" w:left="1361" w:header="652" w:footer="340" w:gutter="0"/>
          <w:cols w:space="708"/>
          <w:titlePg/>
          <w:docGrid w:linePitch="360"/>
        </w:sectPr>
      </w:pPr>
      <w:r w:rsidRPr="00A271AD">
        <w:rPr>
          <w:bCs/>
        </w:rPr>
        <w:t>Following this, a</w:t>
      </w:r>
      <w:r w:rsidR="00ED44AF" w:rsidRPr="00A271AD">
        <w:t xml:space="preserve"> </w:t>
      </w:r>
      <w:r w:rsidRPr="00A271AD">
        <w:rPr>
          <w:bCs/>
        </w:rPr>
        <w:t>nominations</w:t>
      </w:r>
      <w:r w:rsidR="00ED44AF" w:rsidRPr="00A271AD">
        <w:t xml:space="preserve"> period will </w:t>
      </w:r>
      <w:r w:rsidRPr="00A271AD">
        <w:rPr>
          <w:bCs/>
        </w:rPr>
        <w:t xml:space="preserve">commence in </w:t>
      </w:r>
      <w:r w:rsidR="00EA06D8">
        <w:rPr>
          <w:bCs/>
        </w:rPr>
        <w:t>September</w:t>
      </w:r>
      <w:r w:rsidRPr="00A271AD">
        <w:rPr>
          <w:bCs/>
        </w:rPr>
        <w:t xml:space="preserve"> 2023 during which</w:t>
      </w:r>
      <w:r w:rsidR="00887AB5" w:rsidRPr="00A271AD">
        <w:t xml:space="preserve"> </w:t>
      </w:r>
      <w:r w:rsidR="00ED44AF" w:rsidRPr="00A271AD">
        <w:t>nominations</w:t>
      </w:r>
      <w:r w:rsidR="001274B0" w:rsidRPr="00A271AD">
        <w:t xml:space="preserve"> for new additions</w:t>
      </w:r>
      <w:r w:rsidRPr="00A271AD">
        <w:rPr>
          <w:bCs/>
        </w:rPr>
        <w:t xml:space="preserve"> to the Local List can be made</w:t>
      </w:r>
      <w:r w:rsidR="00ED44AF" w:rsidRPr="00A271AD">
        <w:t>. These</w:t>
      </w:r>
      <w:r w:rsidR="002C7347" w:rsidRPr="00A271AD">
        <w:t xml:space="preserve"> will be assesse</w:t>
      </w:r>
      <w:r w:rsidR="00795DD0" w:rsidRPr="00A271AD">
        <w:t>d</w:t>
      </w:r>
      <w:r w:rsidR="002C7347" w:rsidRPr="00A271AD">
        <w:t xml:space="preserve"> </w:t>
      </w:r>
      <w:r w:rsidR="00FE7058" w:rsidRPr="00A271AD">
        <w:t xml:space="preserve">individually </w:t>
      </w:r>
      <w:r w:rsidR="002C7347" w:rsidRPr="00A271AD">
        <w:t xml:space="preserve">by Place Services and recommendations </w:t>
      </w:r>
      <w:r w:rsidR="006243A3" w:rsidRPr="00A271AD">
        <w:t xml:space="preserve">will be </w:t>
      </w:r>
      <w:r w:rsidR="002C7347" w:rsidRPr="00A271AD">
        <w:t>made for the final list to be proposed for adoption</w:t>
      </w:r>
      <w:r w:rsidR="00156E5B" w:rsidRPr="00A271AD">
        <w:t xml:space="preserve"> by the </w:t>
      </w:r>
      <w:proofErr w:type="gramStart"/>
      <w:r w:rsidR="00156E5B" w:rsidRPr="00A271AD">
        <w:t xml:space="preserve">Council </w:t>
      </w:r>
      <w:r w:rsidR="002C7347" w:rsidRPr="00A271AD">
        <w:t>.</w:t>
      </w:r>
      <w:proofErr w:type="gramEnd"/>
      <w:r w:rsidR="00795DD0" w:rsidRPr="00A271AD">
        <w:t xml:space="preserve"> The format of the final list proforma is included at the end of this document</w:t>
      </w:r>
      <w:r w:rsidR="00EA06D8">
        <w:t xml:space="preserve"> for </w:t>
      </w:r>
      <w:r w:rsidR="000B4B2F">
        <w:t xml:space="preserve">reference. </w:t>
      </w:r>
    </w:p>
    <w:p w14:paraId="18794EAD" w14:textId="55886681" w:rsidR="000D1010" w:rsidRDefault="0066177F" w:rsidP="00A271AD">
      <w:pPr>
        <w:pStyle w:val="Heading1"/>
        <w:jc w:val="both"/>
      </w:pPr>
      <w:bookmarkStart w:id="5" w:name="_Toc21091048"/>
      <w:r>
        <w:lastRenderedPageBreak/>
        <w:t>Methodology</w:t>
      </w:r>
      <w:bookmarkEnd w:id="5"/>
    </w:p>
    <w:p w14:paraId="6CD14937" w14:textId="12B5CF8D" w:rsidR="00206A4B" w:rsidRDefault="00206A4B" w:rsidP="004960A3">
      <w:pPr>
        <w:pStyle w:val="BodyTextBold"/>
      </w:pPr>
    </w:p>
    <w:p w14:paraId="63E80646" w14:textId="2AB9808E" w:rsidR="004960A3" w:rsidRDefault="004960A3" w:rsidP="004960A3">
      <w:pPr>
        <w:pStyle w:val="BodyTextBold"/>
      </w:pPr>
      <w:r>
        <w:t>The methodology below applies to both the re-assessment of the existing Local List entries against the new criteria and the nominations process. Once nominations are received, they will be assessed against the criteria to determine their inclusion on the Local List.</w:t>
      </w:r>
    </w:p>
    <w:p w14:paraId="29859E94" w14:textId="06216930" w:rsidR="00EB28F0" w:rsidRDefault="00EB28F0" w:rsidP="004960A3">
      <w:pPr>
        <w:pStyle w:val="BodyTextBold"/>
      </w:pPr>
    </w:p>
    <w:p w14:paraId="3769A306" w14:textId="2D9740B8" w:rsidR="00EB28F0" w:rsidRDefault="00EB28F0" w:rsidP="00EB28F0">
      <w:pPr>
        <w:pStyle w:val="Heading3"/>
        <w:jc w:val="both"/>
        <w:rPr>
          <w:b/>
          <w:sz w:val="22"/>
        </w:rPr>
      </w:pPr>
      <w:r>
        <w:rPr>
          <w:b/>
          <w:sz w:val="22"/>
        </w:rPr>
        <w:t>Criteria for Assessing Buildings</w:t>
      </w:r>
    </w:p>
    <w:p w14:paraId="6A9FFBA9" w14:textId="77777777" w:rsidR="00EB28F0" w:rsidRDefault="00EB28F0" w:rsidP="00EB28F0">
      <w:pPr>
        <w:pStyle w:val="Heading3"/>
        <w:jc w:val="both"/>
        <w:rPr>
          <w:sz w:val="22"/>
        </w:rPr>
      </w:pPr>
    </w:p>
    <w:p w14:paraId="16868479" w14:textId="79A065A8" w:rsidR="00EB28F0" w:rsidRDefault="00EB28F0" w:rsidP="00EB28F0">
      <w:pPr>
        <w:pStyle w:val="Heading3"/>
        <w:jc w:val="both"/>
        <w:rPr>
          <w:sz w:val="22"/>
        </w:rPr>
      </w:pPr>
      <w:r>
        <w:rPr>
          <w:sz w:val="22"/>
        </w:rPr>
        <w:t xml:space="preserve">The criteria used to assess the nominated </w:t>
      </w:r>
      <w:r w:rsidRPr="009F2E57">
        <w:rPr>
          <w:rFonts w:ascii="Arial" w:hAnsi="Arial" w:cs="Arial"/>
          <w:sz w:val="22"/>
          <w:shd w:val="clear" w:color="auto" w:fill="FFFFFF"/>
        </w:rPr>
        <w:t xml:space="preserve">buildings, monuments, sites, places, </w:t>
      </w:r>
      <w:proofErr w:type="gramStart"/>
      <w:r w:rsidRPr="009F2E57">
        <w:rPr>
          <w:rFonts w:ascii="Arial" w:hAnsi="Arial" w:cs="Arial"/>
          <w:sz w:val="22"/>
          <w:shd w:val="clear" w:color="auto" w:fill="FFFFFF"/>
        </w:rPr>
        <w:t>areas</w:t>
      </w:r>
      <w:proofErr w:type="gramEnd"/>
      <w:r w:rsidRPr="009F2E57">
        <w:rPr>
          <w:rFonts w:ascii="Arial" w:hAnsi="Arial" w:cs="Arial"/>
          <w:sz w:val="22"/>
          <w:shd w:val="clear" w:color="auto" w:fill="FFFFFF"/>
        </w:rPr>
        <w:t xml:space="preserve"> or landscapes</w:t>
      </w:r>
      <w:r>
        <w:rPr>
          <w:sz w:val="22"/>
        </w:rPr>
        <w:t xml:space="preserve"> has been informed by the criteria and methodology </w:t>
      </w:r>
      <w:r w:rsidR="003509C8">
        <w:rPr>
          <w:sz w:val="22"/>
        </w:rPr>
        <w:t>suggested</w:t>
      </w:r>
      <w:r>
        <w:rPr>
          <w:sz w:val="22"/>
        </w:rPr>
        <w:t xml:space="preserve"> by Historic England. This approach ensures that the output is consistent with similar surveys at both a local and national level.</w:t>
      </w:r>
    </w:p>
    <w:p w14:paraId="4194D605" w14:textId="77777777" w:rsidR="00EB28F0" w:rsidRDefault="00EB28F0" w:rsidP="00EB28F0">
      <w:pPr>
        <w:pStyle w:val="Heading3"/>
        <w:jc w:val="both"/>
        <w:rPr>
          <w:sz w:val="22"/>
        </w:rPr>
      </w:pPr>
    </w:p>
    <w:p w14:paraId="05E36346" w14:textId="0EF0650B" w:rsidR="00EB28F0" w:rsidRDefault="00EB28F0" w:rsidP="00EB28F0">
      <w:pPr>
        <w:pStyle w:val="Heading3"/>
        <w:jc w:val="both"/>
        <w:rPr>
          <w:sz w:val="22"/>
        </w:rPr>
      </w:pPr>
      <w:r>
        <w:rPr>
          <w:sz w:val="22"/>
        </w:rPr>
        <w:t xml:space="preserve">The selection </w:t>
      </w:r>
      <w:r w:rsidR="000D6F16">
        <w:rPr>
          <w:sz w:val="22"/>
        </w:rPr>
        <w:t>criteria inclusive</w:t>
      </w:r>
      <w:r>
        <w:rPr>
          <w:sz w:val="22"/>
        </w:rPr>
        <w:t xml:space="preserve"> and wide-ranging, ensuring that the </w:t>
      </w:r>
      <w:r w:rsidR="003509C8">
        <w:rPr>
          <w:sz w:val="22"/>
        </w:rPr>
        <w:t xml:space="preserve">Local List </w:t>
      </w:r>
      <w:r>
        <w:rPr>
          <w:sz w:val="22"/>
        </w:rPr>
        <w:t>will take account of the range and distinctiveness of assets across the Borough.</w:t>
      </w:r>
      <w:r w:rsidRPr="00626843">
        <w:t xml:space="preserve"> </w:t>
      </w:r>
      <w:r w:rsidRPr="009A44B6">
        <w:rPr>
          <w:sz w:val="22"/>
        </w:rPr>
        <w:t xml:space="preserve">For inclusion in the Local List, an asset must </w:t>
      </w:r>
      <w:r w:rsidR="003509C8" w:rsidRPr="009A44B6">
        <w:rPr>
          <w:sz w:val="22"/>
        </w:rPr>
        <w:t xml:space="preserve">be one of the types listed in the first ‘Asset Type’ criterion and must then </w:t>
      </w:r>
      <w:r w:rsidRPr="009A44B6">
        <w:rPr>
          <w:sz w:val="22"/>
        </w:rPr>
        <w:t xml:space="preserve">demonstrate significance under at least </w:t>
      </w:r>
      <w:r w:rsidR="009A44B6" w:rsidRPr="009A44B6">
        <w:rPr>
          <w:sz w:val="22"/>
        </w:rPr>
        <w:t>one of the other criteria</w:t>
      </w:r>
      <w:r w:rsidRPr="009A44B6">
        <w:rPr>
          <w:sz w:val="22"/>
        </w:rPr>
        <w:t xml:space="preserve"> below.</w:t>
      </w:r>
      <w:r w:rsidR="009A44B6">
        <w:rPr>
          <w:sz w:val="22"/>
        </w:rPr>
        <w:t xml:space="preserve"> </w:t>
      </w:r>
      <w:r>
        <w:rPr>
          <w:sz w:val="22"/>
        </w:rPr>
        <w:t>By doing so, this will determine that the asset has a degree of significance meriting consideration in planning decisions</w:t>
      </w:r>
      <w:r>
        <w:rPr>
          <w:rStyle w:val="FootnoteReference"/>
          <w:sz w:val="22"/>
        </w:rPr>
        <w:footnoteReference w:id="3"/>
      </w:r>
      <w:r>
        <w:rPr>
          <w:sz w:val="22"/>
        </w:rPr>
        <w:t>.</w:t>
      </w:r>
    </w:p>
    <w:p w14:paraId="7F6425A7" w14:textId="77777777" w:rsidR="00EB28F0" w:rsidRDefault="00EB28F0" w:rsidP="00EB28F0">
      <w:pPr>
        <w:jc w:val="both"/>
        <w:rPr>
          <w:sz w:val="22"/>
        </w:rPr>
      </w:pPr>
    </w:p>
    <w:tbl>
      <w:tblPr>
        <w:tblStyle w:val="LightShading-Accent3"/>
        <w:tblW w:w="0" w:type="auto"/>
        <w:tblLook w:val="04A0" w:firstRow="1" w:lastRow="0" w:firstColumn="1" w:lastColumn="0" w:noHBand="0" w:noVBand="1"/>
      </w:tblPr>
      <w:tblGrid>
        <w:gridCol w:w="2517"/>
        <w:gridCol w:w="7348"/>
      </w:tblGrid>
      <w:tr w:rsidR="00EB28F0" w14:paraId="574DFE08" w14:textId="77777777" w:rsidTr="00A65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00584D5" w14:textId="77777777" w:rsidR="00EB28F0" w:rsidRPr="00D06D53" w:rsidRDefault="00EB28F0" w:rsidP="00A651DF">
            <w:pPr>
              <w:jc w:val="both"/>
              <w:rPr>
                <w:sz w:val="22"/>
              </w:rPr>
            </w:pPr>
            <w:r w:rsidRPr="00D06D53">
              <w:rPr>
                <w:sz w:val="22"/>
              </w:rPr>
              <w:t>Criterion</w:t>
            </w:r>
          </w:p>
        </w:tc>
        <w:tc>
          <w:tcPr>
            <w:tcW w:w="7563" w:type="dxa"/>
          </w:tcPr>
          <w:p w14:paraId="2EC5C150" w14:textId="77777777" w:rsidR="00EB28F0" w:rsidRPr="00D06D53" w:rsidRDefault="00EB28F0" w:rsidP="00A651DF">
            <w:pPr>
              <w:jc w:val="both"/>
              <w:cnfStyle w:val="100000000000" w:firstRow="1" w:lastRow="0" w:firstColumn="0" w:lastColumn="0" w:oddVBand="0" w:evenVBand="0" w:oddHBand="0" w:evenHBand="0" w:firstRowFirstColumn="0" w:firstRowLastColumn="0" w:lastRowFirstColumn="0" w:lastRowLastColumn="0"/>
              <w:rPr>
                <w:sz w:val="22"/>
              </w:rPr>
            </w:pPr>
            <w:r w:rsidRPr="00D06D53">
              <w:rPr>
                <w:sz w:val="22"/>
              </w:rPr>
              <w:t>Description</w:t>
            </w:r>
          </w:p>
          <w:p w14:paraId="7395DD0C" w14:textId="77777777" w:rsidR="00EB28F0" w:rsidRPr="00D06D53" w:rsidRDefault="00EB28F0" w:rsidP="00A651DF">
            <w:pPr>
              <w:jc w:val="both"/>
              <w:cnfStyle w:val="100000000000" w:firstRow="1" w:lastRow="0" w:firstColumn="0" w:lastColumn="0" w:oddVBand="0" w:evenVBand="0" w:oddHBand="0" w:evenHBand="0" w:firstRowFirstColumn="0" w:firstRowLastColumn="0" w:lastRowFirstColumn="0" w:lastRowLastColumn="0"/>
              <w:rPr>
                <w:sz w:val="22"/>
              </w:rPr>
            </w:pPr>
          </w:p>
        </w:tc>
      </w:tr>
      <w:tr w:rsidR="00EB28F0" w14:paraId="2DC4FF9A" w14:textId="77777777" w:rsidTr="0035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C32934" w:themeColor="accent3"/>
            </w:tcBorders>
          </w:tcPr>
          <w:p w14:paraId="66176FAA" w14:textId="2CAA577A" w:rsidR="00EB28F0" w:rsidRPr="00D06D53" w:rsidRDefault="00EB28F0" w:rsidP="00A651DF">
            <w:pPr>
              <w:jc w:val="both"/>
              <w:rPr>
                <w:sz w:val="22"/>
              </w:rPr>
            </w:pPr>
            <w:r w:rsidRPr="00D06D53">
              <w:rPr>
                <w:sz w:val="22"/>
              </w:rPr>
              <w:t xml:space="preserve">Asset </w:t>
            </w:r>
            <w:r w:rsidR="007E2D68">
              <w:rPr>
                <w:sz w:val="22"/>
              </w:rPr>
              <w:t>T</w:t>
            </w:r>
            <w:r w:rsidRPr="00D06D53">
              <w:rPr>
                <w:sz w:val="22"/>
              </w:rPr>
              <w:t>ype</w:t>
            </w:r>
          </w:p>
        </w:tc>
        <w:tc>
          <w:tcPr>
            <w:tcW w:w="7563" w:type="dxa"/>
            <w:tcBorders>
              <w:bottom w:val="single" w:sz="4" w:space="0" w:color="C32934" w:themeColor="accent3"/>
            </w:tcBorders>
          </w:tcPr>
          <w:p w14:paraId="2C60E349" w14:textId="77777777" w:rsidR="00EB28F0" w:rsidRPr="00D06D53" w:rsidRDefault="003509C8" w:rsidP="00A651DF">
            <w:pPr>
              <w:jc w:val="both"/>
              <w:cnfStyle w:val="000000100000" w:firstRow="0" w:lastRow="0" w:firstColumn="0" w:lastColumn="0" w:oddVBand="0" w:evenVBand="0" w:oddHBand="1" w:evenHBand="0" w:firstRowFirstColumn="0" w:firstRowLastColumn="0" w:lastRowFirstColumn="0" w:lastRowLastColumn="0"/>
              <w:rPr>
                <w:b/>
                <w:bCs/>
                <w:i/>
                <w:iCs/>
                <w:sz w:val="22"/>
              </w:rPr>
            </w:pPr>
            <w:r w:rsidRPr="00D06D53">
              <w:rPr>
                <w:b/>
                <w:bCs/>
                <w:i/>
                <w:iCs/>
                <w:sz w:val="22"/>
              </w:rPr>
              <w:t>H</w:t>
            </w:r>
            <w:r w:rsidR="00EB28F0" w:rsidRPr="00D06D53">
              <w:rPr>
                <w:b/>
                <w:bCs/>
                <w:i/>
                <w:iCs/>
                <w:sz w:val="22"/>
              </w:rPr>
              <w:t xml:space="preserve">eritage asset types, including </w:t>
            </w:r>
            <w:r w:rsidRPr="00D06D53">
              <w:rPr>
                <w:b/>
                <w:bCs/>
                <w:i/>
                <w:iCs/>
                <w:sz w:val="22"/>
              </w:rPr>
              <w:t xml:space="preserve">buildings, structures, </w:t>
            </w:r>
            <w:r w:rsidR="00EB28F0" w:rsidRPr="00D06D53">
              <w:rPr>
                <w:b/>
                <w:bCs/>
                <w:i/>
                <w:iCs/>
                <w:sz w:val="22"/>
              </w:rPr>
              <w:t xml:space="preserve">monuments, sites, places, areas, parks, </w:t>
            </w:r>
            <w:proofErr w:type="gramStart"/>
            <w:r w:rsidR="00EB28F0" w:rsidRPr="00D06D53">
              <w:rPr>
                <w:b/>
                <w:bCs/>
                <w:i/>
                <w:iCs/>
                <w:sz w:val="22"/>
              </w:rPr>
              <w:t>gardens</w:t>
            </w:r>
            <w:proofErr w:type="gramEnd"/>
            <w:r w:rsidR="00EB28F0" w:rsidRPr="00D06D53">
              <w:rPr>
                <w:b/>
                <w:bCs/>
                <w:i/>
                <w:iCs/>
                <w:sz w:val="22"/>
              </w:rPr>
              <w:t xml:space="preserve"> and designed landscapes may be considered for inclusion.</w:t>
            </w:r>
          </w:p>
          <w:p w14:paraId="73E831A2" w14:textId="6382CF8B" w:rsidR="00D06D53" w:rsidRPr="00D06D53" w:rsidRDefault="00D06D53" w:rsidP="00A651DF">
            <w:pPr>
              <w:jc w:val="both"/>
              <w:cnfStyle w:val="000000100000" w:firstRow="0" w:lastRow="0" w:firstColumn="0" w:lastColumn="0" w:oddVBand="0" w:evenVBand="0" w:oddHBand="1" w:evenHBand="0" w:firstRowFirstColumn="0" w:firstRowLastColumn="0" w:lastRowFirstColumn="0" w:lastRowLastColumn="0"/>
              <w:rPr>
                <w:b/>
                <w:bCs/>
                <w:i/>
                <w:iCs/>
                <w:sz w:val="22"/>
              </w:rPr>
            </w:pPr>
          </w:p>
        </w:tc>
      </w:tr>
      <w:tr w:rsidR="00EB28F0" w14:paraId="1724048B" w14:textId="77777777" w:rsidTr="003509C8">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C32934" w:themeColor="accent3"/>
            </w:tcBorders>
          </w:tcPr>
          <w:p w14:paraId="798E7236" w14:textId="77777777" w:rsidR="00EB28F0" w:rsidRPr="00D06D53" w:rsidRDefault="00EB28F0" w:rsidP="00A651DF">
            <w:pPr>
              <w:jc w:val="both"/>
              <w:rPr>
                <w:sz w:val="22"/>
              </w:rPr>
            </w:pPr>
            <w:r w:rsidRPr="00D06D53">
              <w:rPr>
                <w:sz w:val="22"/>
              </w:rPr>
              <w:t>Age</w:t>
            </w:r>
          </w:p>
        </w:tc>
        <w:tc>
          <w:tcPr>
            <w:tcW w:w="7563" w:type="dxa"/>
            <w:tcBorders>
              <w:top w:val="single" w:sz="4" w:space="0" w:color="C32934" w:themeColor="accent3"/>
            </w:tcBorders>
          </w:tcPr>
          <w:p w14:paraId="68C07574" w14:textId="249BC530"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i/>
                <w:sz w:val="22"/>
              </w:rPr>
            </w:pPr>
            <w:r w:rsidRPr="00D06D53">
              <w:rPr>
                <w:i/>
                <w:sz w:val="22"/>
              </w:rPr>
              <w:t xml:space="preserve">The age of an asset </w:t>
            </w:r>
            <w:r w:rsidR="00D06D53">
              <w:rPr>
                <w:i/>
                <w:sz w:val="22"/>
              </w:rPr>
              <w:t>is</w:t>
            </w:r>
            <w:r w:rsidRPr="00D06D53">
              <w:rPr>
                <w:i/>
                <w:sz w:val="22"/>
              </w:rPr>
              <w:t xml:space="preserve"> an important criterion</w:t>
            </w:r>
            <w:r w:rsidR="00F96556">
              <w:rPr>
                <w:i/>
                <w:sz w:val="22"/>
              </w:rPr>
              <w:t xml:space="preserve">. </w:t>
            </w:r>
            <w:r w:rsidR="00025F81">
              <w:rPr>
                <w:i/>
                <w:sz w:val="22"/>
              </w:rPr>
              <w:t xml:space="preserve">The Borough’s historic environment reflects its development over time and includes medieval manors and farms, </w:t>
            </w:r>
            <w:proofErr w:type="gramStart"/>
            <w:r w:rsidR="00025F81">
              <w:rPr>
                <w:i/>
                <w:sz w:val="22"/>
              </w:rPr>
              <w:t>seventeenth and eighteenth century</w:t>
            </w:r>
            <w:proofErr w:type="gramEnd"/>
            <w:r w:rsidR="00025F81">
              <w:rPr>
                <w:i/>
                <w:sz w:val="22"/>
              </w:rPr>
              <w:t xml:space="preserve"> country house estates, nineteenth century suburbs, and early twentieth century housing developments. </w:t>
            </w:r>
            <w:r w:rsidR="00F96556">
              <w:rPr>
                <w:i/>
                <w:sz w:val="22"/>
              </w:rPr>
              <w:t>Assets dating from before the arrival of the railways (Romford in 1839, and Hornchurch and Upminster in 1885) are likely to be of particular interest.</w:t>
            </w:r>
            <w:r w:rsidRPr="00D06D53">
              <w:rPr>
                <w:i/>
                <w:sz w:val="22"/>
              </w:rPr>
              <w:t xml:space="preserve"> A large proportion of structures in Havering are likely to be of nineteenth or twentieth century derivation</w:t>
            </w:r>
            <w:r w:rsidR="00D06D53">
              <w:rPr>
                <w:i/>
                <w:sz w:val="22"/>
              </w:rPr>
              <w:t xml:space="preserve">, however, for assets of a recent date, the degree of authenticity </w:t>
            </w:r>
            <w:proofErr w:type="gramStart"/>
            <w:r w:rsidR="00656A4D">
              <w:rPr>
                <w:i/>
                <w:sz w:val="22"/>
              </w:rPr>
              <w:t>in regard to</w:t>
            </w:r>
            <w:proofErr w:type="gramEnd"/>
            <w:r w:rsidR="006D78C7">
              <w:rPr>
                <w:i/>
                <w:sz w:val="22"/>
              </w:rPr>
              <w:t xml:space="preserve"> its architectural interest </w:t>
            </w:r>
            <w:r w:rsidR="00D06D53">
              <w:rPr>
                <w:i/>
                <w:sz w:val="22"/>
              </w:rPr>
              <w:t xml:space="preserve">(see </w:t>
            </w:r>
            <w:r w:rsidR="006D78C7">
              <w:rPr>
                <w:i/>
                <w:sz w:val="22"/>
              </w:rPr>
              <w:t xml:space="preserve">‘authenticity’ criterion </w:t>
            </w:r>
            <w:r w:rsidR="00D06D53">
              <w:rPr>
                <w:i/>
                <w:sz w:val="22"/>
              </w:rPr>
              <w:t>below) is important</w:t>
            </w:r>
            <w:r w:rsidRPr="00D06D53">
              <w:rPr>
                <w:i/>
                <w:sz w:val="22"/>
              </w:rPr>
              <w:t>.</w:t>
            </w:r>
            <w:r w:rsidR="00025F81">
              <w:rPr>
                <w:i/>
                <w:sz w:val="22"/>
              </w:rPr>
              <w:t xml:space="preserve"> Assets dating to the First and Second World Wars may also be of local interest.</w:t>
            </w:r>
          </w:p>
          <w:p w14:paraId="3A66DC73" w14:textId="77777777"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sz w:val="22"/>
              </w:rPr>
            </w:pPr>
          </w:p>
        </w:tc>
      </w:tr>
      <w:tr w:rsidR="00EB28F0" w14:paraId="28FEEB98" w14:textId="77777777" w:rsidTr="00A65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BCEF706" w14:textId="77777777" w:rsidR="00EB28F0" w:rsidRPr="00D06D53" w:rsidRDefault="00EB28F0" w:rsidP="00A651DF">
            <w:pPr>
              <w:jc w:val="both"/>
              <w:rPr>
                <w:sz w:val="22"/>
              </w:rPr>
            </w:pPr>
            <w:r w:rsidRPr="00D06D53">
              <w:rPr>
                <w:sz w:val="22"/>
              </w:rPr>
              <w:t xml:space="preserve">Authenticity </w:t>
            </w:r>
          </w:p>
        </w:tc>
        <w:tc>
          <w:tcPr>
            <w:tcW w:w="7563" w:type="dxa"/>
          </w:tcPr>
          <w:p w14:paraId="4473A97C" w14:textId="216EF74A" w:rsidR="00EB28F0" w:rsidRDefault="001F64DC" w:rsidP="00A651DF">
            <w:pPr>
              <w:jc w:val="both"/>
              <w:cnfStyle w:val="000000100000" w:firstRow="0" w:lastRow="0" w:firstColumn="0" w:lastColumn="0" w:oddVBand="0" w:evenVBand="0" w:oddHBand="1" w:evenHBand="0" w:firstRowFirstColumn="0" w:firstRowLastColumn="0" w:lastRowFirstColumn="0" w:lastRowLastColumn="0"/>
              <w:rPr>
                <w:i/>
                <w:sz w:val="22"/>
              </w:rPr>
            </w:pPr>
            <w:r>
              <w:rPr>
                <w:i/>
                <w:sz w:val="22"/>
              </w:rPr>
              <w:t xml:space="preserve">This criterion </w:t>
            </w:r>
            <w:r w:rsidR="006D4659">
              <w:rPr>
                <w:i/>
                <w:sz w:val="22"/>
              </w:rPr>
              <w:t>is an important consideration in relation to</w:t>
            </w:r>
            <w:r>
              <w:rPr>
                <w:i/>
                <w:sz w:val="22"/>
              </w:rPr>
              <w:t xml:space="preserve"> the age</w:t>
            </w:r>
            <w:r w:rsidR="006D78C7">
              <w:rPr>
                <w:i/>
                <w:sz w:val="22"/>
              </w:rPr>
              <w:t xml:space="preserve"> of the asset and its architectural interest</w:t>
            </w:r>
            <w:r>
              <w:rPr>
                <w:i/>
                <w:sz w:val="22"/>
              </w:rPr>
              <w:t xml:space="preserve">. </w:t>
            </w:r>
            <w:r w:rsidR="00F96556">
              <w:rPr>
                <w:i/>
                <w:sz w:val="22"/>
              </w:rPr>
              <w:t xml:space="preserve">Assets </w:t>
            </w:r>
            <w:r w:rsidR="00EB28F0" w:rsidRPr="00D06D53">
              <w:rPr>
                <w:i/>
                <w:sz w:val="22"/>
              </w:rPr>
              <w:t>should be recognisably of their time, or of a phase in their history. If they have been unsympathetically altered, the change should be easily reversible. A</w:t>
            </w:r>
            <w:r w:rsidR="00F96556">
              <w:rPr>
                <w:i/>
                <w:sz w:val="22"/>
              </w:rPr>
              <w:t>n asset</w:t>
            </w:r>
            <w:r w:rsidR="00EB28F0" w:rsidRPr="00D06D53">
              <w:rPr>
                <w:i/>
                <w:sz w:val="22"/>
              </w:rPr>
              <w:t xml:space="preserve"> which is substantially </w:t>
            </w:r>
            <w:r w:rsidR="00656A4D" w:rsidRPr="00D06D53">
              <w:rPr>
                <w:i/>
                <w:sz w:val="22"/>
              </w:rPr>
              <w:t>unaltered or</w:t>
            </w:r>
            <w:r w:rsidR="00EB28F0" w:rsidRPr="00D06D53">
              <w:rPr>
                <w:i/>
                <w:sz w:val="22"/>
              </w:rPr>
              <w:t xml:space="preserve"> retains </w:t>
            </w:r>
            <w:proofErr w:type="gramStart"/>
            <w:r w:rsidR="00EB28F0" w:rsidRPr="00D06D53">
              <w:rPr>
                <w:i/>
                <w:sz w:val="22"/>
              </w:rPr>
              <w:t>the majority of</w:t>
            </w:r>
            <w:proofErr w:type="gramEnd"/>
            <w:r w:rsidR="00EB28F0" w:rsidRPr="00D06D53">
              <w:rPr>
                <w:i/>
                <w:sz w:val="22"/>
              </w:rPr>
              <w:t xml:space="preserve"> its original features</w:t>
            </w:r>
            <w:r w:rsidR="00F96556">
              <w:rPr>
                <w:i/>
                <w:sz w:val="22"/>
              </w:rPr>
              <w:t xml:space="preserve"> or elements</w:t>
            </w:r>
            <w:r w:rsidR="00EB28F0" w:rsidRPr="00D06D53">
              <w:rPr>
                <w:i/>
                <w:sz w:val="22"/>
              </w:rPr>
              <w:t>, qualifies under this criterion.</w:t>
            </w:r>
          </w:p>
          <w:p w14:paraId="2DE799AA" w14:textId="179EDC3C" w:rsidR="00F96556" w:rsidRPr="00D06D53" w:rsidRDefault="00F96556" w:rsidP="00A651DF">
            <w:pPr>
              <w:jc w:val="both"/>
              <w:cnfStyle w:val="000000100000" w:firstRow="0" w:lastRow="0" w:firstColumn="0" w:lastColumn="0" w:oddVBand="0" w:evenVBand="0" w:oddHBand="1" w:evenHBand="0" w:firstRowFirstColumn="0" w:firstRowLastColumn="0" w:lastRowFirstColumn="0" w:lastRowLastColumn="0"/>
              <w:rPr>
                <w:i/>
                <w:sz w:val="22"/>
              </w:rPr>
            </w:pPr>
          </w:p>
        </w:tc>
      </w:tr>
      <w:tr w:rsidR="00EB28F0" w14:paraId="68C7695E" w14:textId="77777777" w:rsidTr="00A651DF">
        <w:tc>
          <w:tcPr>
            <w:cnfStyle w:val="001000000000" w:firstRow="0" w:lastRow="0" w:firstColumn="1" w:lastColumn="0" w:oddVBand="0" w:evenVBand="0" w:oddHBand="0" w:evenHBand="0" w:firstRowFirstColumn="0" w:firstRowLastColumn="0" w:lastRowFirstColumn="0" w:lastRowLastColumn="0"/>
            <w:tcW w:w="2518" w:type="dxa"/>
          </w:tcPr>
          <w:p w14:paraId="56A10214" w14:textId="77777777" w:rsidR="00EB28F0" w:rsidRPr="00D06D53" w:rsidRDefault="00EB28F0" w:rsidP="00A651DF">
            <w:pPr>
              <w:jc w:val="both"/>
              <w:rPr>
                <w:sz w:val="22"/>
              </w:rPr>
            </w:pPr>
            <w:r w:rsidRPr="00D06D53">
              <w:rPr>
                <w:sz w:val="22"/>
              </w:rPr>
              <w:lastRenderedPageBreak/>
              <w:t>Rarity</w:t>
            </w:r>
          </w:p>
        </w:tc>
        <w:tc>
          <w:tcPr>
            <w:tcW w:w="7563" w:type="dxa"/>
          </w:tcPr>
          <w:p w14:paraId="79D9ADA0" w14:textId="76C9ABA0" w:rsidR="00EB28F0" w:rsidRPr="00D06D53" w:rsidRDefault="00F96556" w:rsidP="00A651DF">
            <w:pPr>
              <w:jc w:val="both"/>
              <w:cnfStyle w:val="000000000000" w:firstRow="0" w:lastRow="0" w:firstColumn="0" w:lastColumn="0" w:oddVBand="0" w:evenVBand="0" w:oddHBand="0" w:evenHBand="0" w:firstRowFirstColumn="0" w:firstRowLastColumn="0" w:lastRowFirstColumn="0" w:lastRowLastColumn="0"/>
              <w:rPr>
                <w:i/>
                <w:sz w:val="22"/>
              </w:rPr>
            </w:pPr>
            <w:r>
              <w:rPr>
                <w:i/>
                <w:sz w:val="22"/>
              </w:rPr>
              <w:t>This is a</w:t>
            </w:r>
            <w:r w:rsidR="00EB28F0" w:rsidRPr="00D06D53">
              <w:rPr>
                <w:i/>
                <w:sz w:val="22"/>
              </w:rPr>
              <w:t>ppropriate for all assets.</w:t>
            </w:r>
            <w:r>
              <w:rPr>
                <w:i/>
                <w:sz w:val="22"/>
              </w:rPr>
              <w:t xml:space="preserve"> Due to the rapid expansion of the Borough in the nineteenth and twentieth centuries following the arrival of the railways and the redevelopment of country estates in the c.1930s, assets pre-dating the nineteenth century are likely to be less common.</w:t>
            </w:r>
          </w:p>
          <w:p w14:paraId="2EE6D6B3" w14:textId="77777777"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sz w:val="22"/>
              </w:rPr>
            </w:pPr>
          </w:p>
        </w:tc>
      </w:tr>
      <w:tr w:rsidR="00EB28F0" w14:paraId="3DD7D4FD" w14:textId="77777777" w:rsidTr="00A65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5221AE8" w14:textId="77777777" w:rsidR="00EB28F0" w:rsidRPr="00D06D53" w:rsidRDefault="00EB28F0" w:rsidP="00A651DF">
            <w:pPr>
              <w:rPr>
                <w:b w:val="0"/>
                <w:sz w:val="22"/>
              </w:rPr>
            </w:pPr>
            <w:r w:rsidRPr="00D06D53">
              <w:rPr>
                <w:sz w:val="22"/>
              </w:rPr>
              <w:t>Architectural and Artistic Interest</w:t>
            </w:r>
          </w:p>
          <w:p w14:paraId="486F155D" w14:textId="77777777" w:rsidR="00EB28F0" w:rsidRPr="00D06D53" w:rsidRDefault="00EB28F0" w:rsidP="00A651DF">
            <w:pPr>
              <w:jc w:val="both"/>
              <w:rPr>
                <w:sz w:val="22"/>
              </w:rPr>
            </w:pPr>
          </w:p>
        </w:tc>
        <w:tc>
          <w:tcPr>
            <w:tcW w:w="7563" w:type="dxa"/>
          </w:tcPr>
          <w:p w14:paraId="5F206B01" w14:textId="7ACC1B6D" w:rsidR="00EB28F0" w:rsidRDefault="00EB28F0" w:rsidP="00A651DF">
            <w:pPr>
              <w:jc w:val="both"/>
              <w:cnfStyle w:val="000000100000" w:firstRow="0" w:lastRow="0" w:firstColumn="0" w:lastColumn="0" w:oddVBand="0" w:evenVBand="0" w:oddHBand="1" w:evenHBand="0" w:firstRowFirstColumn="0" w:firstRowLastColumn="0" w:lastRowFirstColumn="0" w:lastRowLastColumn="0"/>
              <w:rPr>
                <w:i/>
                <w:sz w:val="22"/>
              </w:rPr>
            </w:pPr>
            <w:r w:rsidRPr="00D06D53">
              <w:rPr>
                <w:i/>
                <w:sz w:val="22"/>
              </w:rPr>
              <w:t>Th</w:t>
            </w:r>
            <w:r w:rsidR="00F96556">
              <w:rPr>
                <w:i/>
                <w:sz w:val="22"/>
              </w:rPr>
              <w:t>is criterion concerns the</w:t>
            </w:r>
            <w:r w:rsidRPr="00D06D53">
              <w:rPr>
                <w:i/>
                <w:sz w:val="22"/>
              </w:rPr>
              <w:t xml:space="preserve"> intrinsic design and aesthetic value of an asset relating to local and/or national</w:t>
            </w:r>
            <w:r w:rsidR="007335C7">
              <w:rPr>
                <w:i/>
                <w:sz w:val="22"/>
              </w:rPr>
              <w:t xml:space="preserve"> </w:t>
            </w:r>
            <w:r w:rsidRPr="00D06D53">
              <w:rPr>
                <w:i/>
                <w:sz w:val="22"/>
              </w:rPr>
              <w:t>styles, materials, construction and craft techniques, or any other distinctive</w:t>
            </w:r>
            <w:r w:rsidR="007335C7">
              <w:rPr>
                <w:i/>
                <w:sz w:val="22"/>
              </w:rPr>
              <w:t xml:space="preserve"> </w:t>
            </w:r>
            <w:r w:rsidRPr="00D06D53">
              <w:rPr>
                <w:i/>
                <w:sz w:val="22"/>
              </w:rPr>
              <w:t>characteristics.</w:t>
            </w:r>
            <w:r w:rsidR="006D78C7">
              <w:rPr>
                <w:i/>
                <w:sz w:val="22"/>
              </w:rPr>
              <w:t xml:space="preserve"> Whilst now in Greater London, much of Havering was historically part of the County of Essex and as such </w:t>
            </w:r>
            <w:r w:rsidR="007E2D68">
              <w:rPr>
                <w:i/>
                <w:sz w:val="22"/>
              </w:rPr>
              <w:t xml:space="preserve">architectural styles, details and materials found in </w:t>
            </w:r>
            <w:r w:rsidR="006D78C7">
              <w:rPr>
                <w:i/>
                <w:sz w:val="22"/>
              </w:rPr>
              <w:t xml:space="preserve">the Borough can be illustrative of its diverse historic </w:t>
            </w:r>
            <w:r w:rsidR="00656A4D">
              <w:rPr>
                <w:i/>
                <w:sz w:val="22"/>
              </w:rPr>
              <w:t>development.</w:t>
            </w:r>
          </w:p>
          <w:p w14:paraId="295BB267" w14:textId="7C83960D" w:rsidR="00F96556" w:rsidRPr="007335C7" w:rsidRDefault="00F96556" w:rsidP="00A651DF">
            <w:pPr>
              <w:jc w:val="both"/>
              <w:cnfStyle w:val="000000100000" w:firstRow="0" w:lastRow="0" w:firstColumn="0" w:lastColumn="0" w:oddVBand="0" w:evenVBand="0" w:oddHBand="1" w:evenHBand="0" w:firstRowFirstColumn="0" w:firstRowLastColumn="0" w:lastRowFirstColumn="0" w:lastRowLastColumn="0"/>
              <w:rPr>
                <w:i/>
                <w:sz w:val="22"/>
              </w:rPr>
            </w:pPr>
          </w:p>
        </w:tc>
      </w:tr>
      <w:tr w:rsidR="00EB28F0" w14:paraId="43ED9482" w14:textId="77777777" w:rsidTr="00A651DF">
        <w:tc>
          <w:tcPr>
            <w:cnfStyle w:val="001000000000" w:firstRow="0" w:lastRow="0" w:firstColumn="1" w:lastColumn="0" w:oddVBand="0" w:evenVBand="0" w:oddHBand="0" w:evenHBand="0" w:firstRowFirstColumn="0" w:firstRowLastColumn="0" w:lastRowFirstColumn="0" w:lastRowLastColumn="0"/>
            <w:tcW w:w="2518" w:type="dxa"/>
          </w:tcPr>
          <w:p w14:paraId="1C12B0E6" w14:textId="77777777" w:rsidR="00EB28F0" w:rsidRPr="00D06D53" w:rsidRDefault="00EB28F0" w:rsidP="00A651DF">
            <w:pPr>
              <w:jc w:val="both"/>
              <w:rPr>
                <w:sz w:val="22"/>
              </w:rPr>
            </w:pPr>
            <w:r w:rsidRPr="00D06D53">
              <w:rPr>
                <w:sz w:val="22"/>
              </w:rPr>
              <w:t>Group Value</w:t>
            </w:r>
          </w:p>
        </w:tc>
        <w:tc>
          <w:tcPr>
            <w:tcW w:w="7563" w:type="dxa"/>
          </w:tcPr>
          <w:p w14:paraId="141929DF" w14:textId="09ADCA45" w:rsidR="00EB28F0" w:rsidRPr="00D06D53" w:rsidRDefault="007E2D68" w:rsidP="00A651DF">
            <w:pPr>
              <w:jc w:val="both"/>
              <w:cnfStyle w:val="000000000000" w:firstRow="0" w:lastRow="0" w:firstColumn="0" w:lastColumn="0" w:oddVBand="0" w:evenVBand="0" w:oddHBand="0" w:evenHBand="0" w:firstRowFirstColumn="0" w:firstRowLastColumn="0" w:lastRowFirstColumn="0" w:lastRowLastColumn="0"/>
              <w:rPr>
                <w:i/>
                <w:sz w:val="22"/>
              </w:rPr>
            </w:pPr>
            <w:r>
              <w:rPr>
                <w:i/>
                <w:sz w:val="22"/>
              </w:rPr>
              <w:t>This criterion applies to g</w:t>
            </w:r>
            <w:r w:rsidR="00EB28F0" w:rsidRPr="00D06D53">
              <w:rPr>
                <w:i/>
                <w:sz w:val="22"/>
              </w:rPr>
              <w:t>roupings of assets with a clear visual design or historic relationship.</w:t>
            </w:r>
            <w:r w:rsidR="006D78C7">
              <w:rPr>
                <w:i/>
                <w:sz w:val="22"/>
              </w:rPr>
              <w:t xml:space="preserve"> Examples in Havering may include Victorian terraces, military </w:t>
            </w:r>
            <w:proofErr w:type="gramStart"/>
            <w:r w:rsidR="006D78C7">
              <w:rPr>
                <w:i/>
                <w:sz w:val="22"/>
              </w:rPr>
              <w:t>complexes</w:t>
            </w:r>
            <w:proofErr w:type="gramEnd"/>
            <w:r w:rsidR="006D78C7">
              <w:rPr>
                <w:i/>
                <w:sz w:val="22"/>
              </w:rPr>
              <w:t xml:space="preserve"> or historic farmsteads.</w:t>
            </w:r>
          </w:p>
          <w:p w14:paraId="2467F9F9" w14:textId="77777777"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sz w:val="22"/>
              </w:rPr>
            </w:pPr>
          </w:p>
        </w:tc>
      </w:tr>
      <w:tr w:rsidR="00EB28F0" w14:paraId="2571CA9C" w14:textId="77777777" w:rsidTr="00A65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670AE8" w14:textId="77777777" w:rsidR="00EB28F0" w:rsidRPr="00D06D53" w:rsidRDefault="00EB28F0" w:rsidP="00A651DF">
            <w:pPr>
              <w:jc w:val="both"/>
              <w:rPr>
                <w:sz w:val="22"/>
              </w:rPr>
            </w:pPr>
            <w:r w:rsidRPr="00D06D53">
              <w:rPr>
                <w:sz w:val="22"/>
              </w:rPr>
              <w:t>Archaeological Interest</w:t>
            </w:r>
          </w:p>
        </w:tc>
        <w:tc>
          <w:tcPr>
            <w:tcW w:w="7563" w:type="dxa"/>
          </w:tcPr>
          <w:p w14:paraId="681A2B4A" w14:textId="31792B39" w:rsidR="00EB28F0" w:rsidRPr="00D06D53" w:rsidRDefault="00EB28F0" w:rsidP="00A651DF">
            <w:pPr>
              <w:jc w:val="both"/>
              <w:cnfStyle w:val="000000100000" w:firstRow="0" w:lastRow="0" w:firstColumn="0" w:lastColumn="0" w:oddVBand="0" w:evenVBand="0" w:oddHBand="1" w:evenHBand="0" w:firstRowFirstColumn="0" w:firstRowLastColumn="0" w:lastRowFirstColumn="0" w:lastRowLastColumn="0"/>
              <w:rPr>
                <w:i/>
                <w:sz w:val="22"/>
              </w:rPr>
            </w:pPr>
            <w:r w:rsidRPr="00D06D53">
              <w:rPr>
                <w:i/>
                <w:sz w:val="22"/>
              </w:rPr>
              <w:t>The asset may provide evidence about past human activity in the locality, which may be in the form of buried remains, but may also be revealed in the structure of buildings or in a designed landscape, for instance. Heritage assets with archaeological interest are the primary source of evidence about the substance and evolution of places, and of the people and cultures that made them.</w:t>
            </w:r>
          </w:p>
          <w:p w14:paraId="4EFB9AE3" w14:textId="77777777" w:rsidR="00EB28F0" w:rsidRPr="00D06D53" w:rsidRDefault="00EB28F0" w:rsidP="00A651DF">
            <w:pPr>
              <w:jc w:val="both"/>
              <w:cnfStyle w:val="000000100000" w:firstRow="0" w:lastRow="0" w:firstColumn="0" w:lastColumn="0" w:oddVBand="0" w:evenVBand="0" w:oddHBand="1" w:evenHBand="0" w:firstRowFirstColumn="0" w:firstRowLastColumn="0" w:lastRowFirstColumn="0" w:lastRowLastColumn="0"/>
              <w:rPr>
                <w:sz w:val="22"/>
              </w:rPr>
            </w:pPr>
          </w:p>
        </w:tc>
      </w:tr>
      <w:tr w:rsidR="00EB28F0" w14:paraId="015B3855" w14:textId="77777777" w:rsidTr="00A651DF">
        <w:tc>
          <w:tcPr>
            <w:cnfStyle w:val="001000000000" w:firstRow="0" w:lastRow="0" w:firstColumn="1" w:lastColumn="0" w:oddVBand="0" w:evenVBand="0" w:oddHBand="0" w:evenHBand="0" w:firstRowFirstColumn="0" w:firstRowLastColumn="0" w:lastRowFirstColumn="0" w:lastRowLastColumn="0"/>
            <w:tcW w:w="2518" w:type="dxa"/>
          </w:tcPr>
          <w:p w14:paraId="19769BD7" w14:textId="77777777" w:rsidR="00EB28F0" w:rsidRPr="00D06D53" w:rsidRDefault="00EB28F0" w:rsidP="00A651DF">
            <w:pPr>
              <w:jc w:val="both"/>
              <w:rPr>
                <w:b w:val="0"/>
                <w:bCs w:val="0"/>
                <w:sz w:val="22"/>
              </w:rPr>
            </w:pPr>
            <w:r w:rsidRPr="00D06D53">
              <w:rPr>
                <w:sz w:val="22"/>
              </w:rPr>
              <w:t>Historic Interest</w:t>
            </w:r>
          </w:p>
          <w:p w14:paraId="7645406C" w14:textId="77777777" w:rsidR="00EB28F0" w:rsidRPr="00D06D53" w:rsidRDefault="00EB28F0" w:rsidP="00A651DF">
            <w:pPr>
              <w:rPr>
                <w:sz w:val="22"/>
              </w:rPr>
            </w:pPr>
            <w:r w:rsidRPr="00D06D53">
              <w:rPr>
                <w:sz w:val="22"/>
              </w:rPr>
              <w:t>(Including Social and Communal Interest)</w:t>
            </w:r>
          </w:p>
        </w:tc>
        <w:tc>
          <w:tcPr>
            <w:tcW w:w="7563" w:type="dxa"/>
          </w:tcPr>
          <w:p w14:paraId="2C671895" w14:textId="1590B64E" w:rsidR="005F30F7" w:rsidRDefault="00EB28F0" w:rsidP="00A651DF">
            <w:pPr>
              <w:jc w:val="both"/>
              <w:cnfStyle w:val="000000000000" w:firstRow="0" w:lastRow="0" w:firstColumn="0" w:lastColumn="0" w:oddVBand="0" w:evenVBand="0" w:oddHBand="0" w:evenHBand="0" w:firstRowFirstColumn="0" w:firstRowLastColumn="0" w:lastRowFirstColumn="0" w:lastRowLastColumn="0"/>
              <w:rPr>
                <w:i/>
                <w:sz w:val="22"/>
              </w:rPr>
            </w:pPr>
            <w:r w:rsidRPr="00D06D53">
              <w:rPr>
                <w:i/>
                <w:sz w:val="22"/>
              </w:rPr>
              <w:t>A significant historical association of local or national note, including links to important local figures</w:t>
            </w:r>
            <w:r w:rsidR="001E01C0">
              <w:rPr>
                <w:i/>
                <w:sz w:val="22"/>
              </w:rPr>
              <w:t xml:space="preserve"> or industry</w:t>
            </w:r>
            <w:r w:rsidR="00F45382">
              <w:rPr>
                <w:i/>
                <w:sz w:val="22"/>
              </w:rPr>
              <w:t xml:space="preserve"> that</w:t>
            </w:r>
            <w:r w:rsidRPr="00D06D53">
              <w:rPr>
                <w:i/>
                <w:sz w:val="22"/>
              </w:rPr>
              <w:t xml:space="preserve"> may enhance the significance of a heritage asset.</w:t>
            </w:r>
            <w:r w:rsidR="005F30F7">
              <w:rPr>
                <w:i/>
                <w:sz w:val="22"/>
              </w:rPr>
              <w:t xml:space="preserve"> Surviving documents and sources relating to assets may enhance their historic interest.</w:t>
            </w:r>
          </w:p>
          <w:p w14:paraId="0E5A4EE9" w14:textId="77777777" w:rsidR="005F30F7" w:rsidRDefault="005F30F7" w:rsidP="00A651DF">
            <w:pPr>
              <w:jc w:val="both"/>
              <w:cnfStyle w:val="000000000000" w:firstRow="0" w:lastRow="0" w:firstColumn="0" w:lastColumn="0" w:oddVBand="0" w:evenVBand="0" w:oddHBand="0" w:evenHBand="0" w:firstRowFirstColumn="0" w:firstRowLastColumn="0" w:lastRowFirstColumn="0" w:lastRowLastColumn="0"/>
              <w:rPr>
                <w:i/>
                <w:sz w:val="22"/>
              </w:rPr>
            </w:pPr>
          </w:p>
          <w:p w14:paraId="59C56DB6" w14:textId="0A26D231"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i/>
                <w:sz w:val="22"/>
              </w:rPr>
            </w:pPr>
            <w:r w:rsidRPr="00D06D53">
              <w:rPr>
                <w:i/>
                <w:sz w:val="22"/>
              </w:rPr>
              <w:t xml:space="preserve">Social and communal interest may be regarded as a sub-set of historic interest but has special value in local listing. As noted in the PPG: ‘Heritage assets … can also provide meaning for communities derived from their collective experience of a place and can symbolise wider values such as faith and cultural identity’. It therefore relates to places perceived as a source of local identity, distinctiveness, social </w:t>
            </w:r>
            <w:proofErr w:type="gramStart"/>
            <w:r w:rsidRPr="00D06D53">
              <w:rPr>
                <w:i/>
                <w:sz w:val="22"/>
              </w:rPr>
              <w:t>interaction</w:t>
            </w:r>
            <w:proofErr w:type="gramEnd"/>
            <w:r w:rsidRPr="00D06D53">
              <w:rPr>
                <w:i/>
                <w:sz w:val="22"/>
              </w:rPr>
              <w:t xml:space="preserve"> and coherence, contributing to the ‘collective memory’ of a place.</w:t>
            </w:r>
          </w:p>
          <w:p w14:paraId="060ED056" w14:textId="77777777"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sz w:val="22"/>
              </w:rPr>
            </w:pPr>
          </w:p>
        </w:tc>
      </w:tr>
      <w:tr w:rsidR="00EB28F0" w14:paraId="72B1E2D0" w14:textId="77777777" w:rsidTr="00A65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38CB420" w14:textId="44E3D923" w:rsidR="00EB28F0" w:rsidRPr="00D06D53" w:rsidRDefault="00EB28F0" w:rsidP="00A651DF">
            <w:pPr>
              <w:jc w:val="both"/>
              <w:rPr>
                <w:sz w:val="22"/>
              </w:rPr>
            </w:pPr>
            <w:r w:rsidRPr="00D06D53">
              <w:rPr>
                <w:sz w:val="22"/>
              </w:rPr>
              <w:t>Designed Landscape</w:t>
            </w:r>
            <w:r w:rsidR="001E01C0">
              <w:rPr>
                <w:sz w:val="22"/>
              </w:rPr>
              <w:t xml:space="preserve"> Quality</w:t>
            </w:r>
          </w:p>
        </w:tc>
        <w:tc>
          <w:tcPr>
            <w:tcW w:w="7563" w:type="dxa"/>
          </w:tcPr>
          <w:p w14:paraId="67E6FFA6" w14:textId="1A600E21" w:rsidR="00EB28F0" w:rsidRPr="00D06D53" w:rsidRDefault="005F30F7" w:rsidP="00A651DF">
            <w:pPr>
              <w:jc w:val="both"/>
              <w:cnfStyle w:val="000000100000" w:firstRow="0" w:lastRow="0" w:firstColumn="0" w:lastColumn="0" w:oddVBand="0" w:evenVBand="0" w:oddHBand="1" w:evenHBand="0" w:firstRowFirstColumn="0" w:firstRowLastColumn="0" w:lastRowFirstColumn="0" w:lastRowLastColumn="0"/>
              <w:rPr>
                <w:i/>
                <w:sz w:val="22"/>
              </w:rPr>
            </w:pPr>
            <w:r>
              <w:rPr>
                <w:i/>
                <w:sz w:val="22"/>
              </w:rPr>
              <w:t>This criterion concerns the</w:t>
            </w:r>
            <w:r w:rsidR="00EB28F0" w:rsidRPr="00D06D53">
              <w:rPr>
                <w:i/>
                <w:sz w:val="22"/>
              </w:rPr>
              <w:t xml:space="preserve"> interest attached to locally important historic designed landscapes, parks and gardens which may relate to their design or social history.</w:t>
            </w:r>
            <w:r w:rsidR="006D4659">
              <w:rPr>
                <w:i/>
                <w:sz w:val="22"/>
              </w:rPr>
              <w:t xml:space="preserve"> </w:t>
            </w:r>
            <w:r w:rsidR="00F40C9D">
              <w:rPr>
                <w:i/>
                <w:sz w:val="22"/>
              </w:rPr>
              <w:t>Types of historic d</w:t>
            </w:r>
            <w:r w:rsidR="006D4659">
              <w:rPr>
                <w:i/>
                <w:sz w:val="22"/>
              </w:rPr>
              <w:t>esigned landscapes</w:t>
            </w:r>
            <w:r w:rsidR="00F40C9D">
              <w:rPr>
                <w:i/>
                <w:sz w:val="22"/>
              </w:rPr>
              <w:t xml:space="preserve"> in the Borough include remains of m</w:t>
            </w:r>
            <w:r w:rsidR="006D4659">
              <w:rPr>
                <w:i/>
                <w:sz w:val="22"/>
              </w:rPr>
              <w:t>edieval moated sites set within parkland</w:t>
            </w:r>
            <w:r w:rsidR="00F40C9D">
              <w:rPr>
                <w:i/>
                <w:sz w:val="22"/>
              </w:rPr>
              <w:t xml:space="preserve">, gardens associated with country houses, and landscapes potentially associated with </w:t>
            </w:r>
            <w:r w:rsidR="001E01C0">
              <w:rPr>
                <w:i/>
                <w:sz w:val="22"/>
              </w:rPr>
              <w:t xml:space="preserve">prominent </w:t>
            </w:r>
            <w:r w:rsidR="00F40C9D">
              <w:rPr>
                <w:i/>
                <w:sz w:val="22"/>
              </w:rPr>
              <w:t>landscape designers.</w:t>
            </w:r>
          </w:p>
          <w:p w14:paraId="23EA6859" w14:textId="77777777" w:rsidR="00EB28F0" w:rsidRPr="00D06D53" w:rsidRDefault="00EB28F0" w:rsidP="00A651DF">
            <w:pPr>
              <w:jc w:val="both"/>
              <w:cnfStyle w:val="000000100000" w:firstRow="0" w:lastRow="0" w:firstColumn="0" w:lastColumn="0" w:oddVBand="0" w:evenVBand="0" w:oddHBand="1" w:evenHBand="0" w:firstRowFirstColumn="0" w:firstRowLastColumn="0" w:lastRowFirstColumn="0" w:lastRowLastColumn="0"/>
              <w:rPr>
                <w:sz w:val="22"/>
              </w:rPr>
            </w:pPr>
          </w:p>
        </w:tc>
      </w:tr>
      <w:tr w:rsidR="00EB28F0" w14:paraId="27304459" w14:textId="77777777" w:rsidTr="00A651DF">
        <w:tc>
          <w:tcPr>
            <w:cnfStyle w:val="001000000000" w:firstRow="0" w:lastRow="0" w:firstColumn="1" w:lastColumn="0" w:oddVBand="0" w:evenVBand="0" w:oddHBand="0" w:evenHBand="0" w:firstRowFirstColumn="0" w:firstRowLastColumn="0" w:lastRowFirstColumn="0" w:lastRowLastColumn="0"/>
            <w:tcW w:w="2518" w:type="dxa"/>
          </w:tcPr>
          <w:p w14:paraId="2D574684" w14:textId="77777777" w:rsidR="00EB28F0" w:rsidRPr="00D06D53" w:rsidRDefault="00EB28F0" w:rsidP="00A651DF">
            <w:pPr>
              <w:jc w:val="both"/>
              <w:rPr>
                <w:b w:val="0"/>
                <w:sz w:val="22"/>
              </w:rPr>
            </w:pPr>
            <w:r w:rsidRPr="00D06D53">
              <w:rPr>
                <w:sz w:val="22"/>
              </w:rPr>
              <w:t>Landmark/Townscape Status</w:t>
            </w:r>
          </w:p>
        </w:tc>
        <w:tc>
          <w:tcPr>
            <w:tcW w:w="7563" w:type="dxa"/>
          </w:tcPr>
          <w:p w14:paraId="083900A9" w14:textId="27DDF1AB" w:rsidR="00EB28F0" w:rsidRPr="00D06D53" w:rsidRDefault="00656A4D" w:rsidP="00A651DF">
            <w:pPr>
              <w:jc w:val="both"/>
              <w:cnfStyle w:val="000000000000" w:firstRow="0" w:lastRow="0" w:firstColumn="0" w:lastColumn="0" w:oddVBand="0" w:evenVBand="0" w:oddHBand="0" w:evenHBand="0" w:firstRowFirstColumn="0" w:firstRowLastColumn="0" w:lastRowFirstColumn="0" w:lastRowLastColumn="0"/>
              <w:rPr>
                <w:i/>
                <w:sz w:val="22"/>
              </w:rPr>
            </w:pPr>
            <w:r>
              <w:rPr>
                <w:i/>
                <w:sz w:val="22"/>
              </w:rPr>
              <w:t>This criterion</w:t>
            </w:r>
            <w:r w:rsidR="00F40C9D">
              <w:rPr>
                <w:i/>
                <w:sz w:val="22"/>
              </w:rPr>
              <w:t xml:space="preserve"> applies to</w:t>
            </w:r>
            <w:r w:rsidR="00EB28F0" w:rsidRPr="00D06D53">
              <w:rPr>
                <w:i/>
                <w:sz w:val="22"/>
              </w:rPr>
              <w:t xml:space="preserve"> asset</w:t>
            </w:r>
            <w:r w:rsidR="00F40C9D">
              <w:rPr>
                <w:i/>
                <w:sz w:val="22"/>
              </w:rPr>
              <w:t>s</w:t>
            </w:r>
            <w:r w:rsidR="00EB28F0" w:rsidRPr="00D06D53">
              <w:rPr>
                <w:i/>
                <w:sz w:val="22"/>
              </w:rPr>
              <w:t xml:space="preserve"> with strong communal or historical associations, or because it has especially striking aesthetic value,</w:t>
            </w:r>
            <w:r w:rsidR="00F40C9D">
              <w:rPr>
                <w:i/>
                <w:sz w:val="22"/>
              </w:rPr>
              <w:t xml:space="preserve"> including those which</w:t>
            </w:r>
            <w:r w:rsidR="00EB28F0" w:rsidRPr="00D06D53">
              <w:rPr>
                <w:i/>
                <w:sz w:val="22"/>
              </w:rPr>
              <w:t xml:space="preserve"> may be singled out as a landmark within the local scene.</w:t>
            </w:r>
          </w:p>
          <w:p w14:paraId="0DDB0A8C" w14:textId="77777777" w:rsidR="00EB28F0" w:rsidRPr="00D06D53" w:rsidRDefault="00EB28F0" w:rsidP="00A651DF">
            <w:pPr>
              <w:jc w:val="both"/>
              <w:cnfStyle w:val="000000000000" w:firstRow="0" w:lastRow="0" w:firstColumn="0" w:lastColumn="0" w:oddVBand="0" w:evenVBand="0" w:oddHBand="0" w:evenHBand="0" w:firstRowFirstColumn="0" w:firstRowLastColumn="0" w:lastRowFirstColumn="0" w:lastRowLastColumn="0"/>
              <w:rPr>
                <w:i/>
                <w:sz w:val="22"/>
              </w:rPr>
            </w:pPr>
          </w:p>
        </w:tc>
      </w:tr>
    </w:tbl>
    <w:p w14:paraId="0811DCD8" w14:textId="77777777" w:rsidR="00EB28F0" w:rsidRPr="003410BE" w:rsidRDefault="00EB28F0" w:rsidP="00EB28F0">
      <w:pPr>
        <w:jc w:val="both"/>
        <w:rPr>
          <w:sz w:val="22"/>
        </w:rPr>
        <w:sectPr w:rsidR="00EB28F0" w:rsidRPr="003410BE" w:rsidSect="00522C7D">
          <w:pgSz w:w="11906" w:h="16838" w:code="9"/>
          <w:pgMar w:top="1899" w:right="680" w:bottom="1304" w:left="1361" w:header="652" w:footer="340" w:gutter="0"/>
          <w:cols w:space="708"/>
          <w:titlePg/>
          <w:docGrid w:linePitch="360"/>
        </w:sectPr>
      </w:pPr>
    </w:p>
    <w:p w14:paraId="3051FAF3" w14:textId="77777777" w:rsidR="00EB28F0" w:rsidRDefault="00EB28F0" w:rsidP="00EB28F0">
      <w:pPr>
        <w:jc w:val="both"/>
        <w:sectPr w:rsidR="00EB28F0" w:rsidSect="009E0E75">
          <w:type w:val="continuous"/>
          <w:pgSz w:w="11906" w:h="16838" w:code="9"/>
          <w:pgMar w:top="1899" w:right="680" w:bottom="1418" w:left="1361" w:header="652" w:footer="340" w:gutter="0"/>
          <w:cols w:num="2" w:space="227"/>
          <w:titlePg/>
          <w:docGrid w:linePitch="360"/>
        </w:sectPr>
      </w:pPr>
    </w:p>
    <w:p w14:paraId="60C852C6" w14:textId="001C52B2" w:rsidR="00206A4B" w:rsidRPr="00206A4B" w:rsidRDefault="006B7110" w:rsidP="00206A4B">
      <w:pPr>
        <w:pStyle w:val="Heading3"/>
        <w:jc w:val="both"/>
        <w:rPr>
          <w:rFonts w:cstheme="majorHAnsi"/>
          <w:b/>
          <w:sz w:val="22"/>
        </w:rPr>
      </w:pPr>
      <w:r w:rsidRPr="00206A4B">
        <w:rPr>
          <w:rFonts w:cstheme="majorHAnsi"/>
          <w:b/>
          <w:sz w:val="22"/>
        </w:rPr>
        <w:lastRenderedPageBreak/>
        <w:t>Survey Forms</w:t>
      </w:r>
    </w:p>
    <w:p w14:paraId="76FD9EA8" w14:textId="1DD0240C" w:rsidR="00206A4B" w:rsidRDefault="00206A4B" w:rsidP="00206A4B">
      <w:pPr>
        <w:pStyle w:val="BodyTextBold"/>
      </w:pPr>
      <w:r w:rsidRPr="00206A4B">
        <w:t>An assessment pro-forma will be completed for every entry on the Local List (an example pro-forma is included below) to explain their significance. The same pro-forma assessment will be completed for any sites nominated for inclusion on the Local List and these will be re-assessed to ensure they meet the criteria for inclusion.</w:t>
      </w:r>
    </w:p>
    <w:p w14:paraId="55039508" w14:textId="77777777" w:rsidR="00206A4B" w:rsidRPr="00206A4B" w:rsidRDefault="00206A4B" w:rsidP="00206A4B">
      <w:pPr>
        <w:pStyle w:val="BodyTextBold"/>
      </w:pPr>
    </w:p>
    <w:p w14:paraId="68089E59" w14:textId="3B64D877" w:rsidR="007A5A1C" w:rsidRPr="00206A4B" w:rsidRDefault="00206A4B" w:rsidP="00206A4B">
      <w:pPr>
        <w:pStyle w:val="BodyTextBold"/>
      </w:pPr>
      <w:r w:rsidRPr="00206A4B">
        <w:t>To ensure the correct and most useful information is gathered for each site or nomination, the</w:t>
      </w:r>
      <w:r w:rsidR="006B7110" w:rsidRPr="00206A4B">
        <w:t xml:space="preserve"> </w:t>
      </w:r>
      <w:r w:rsidR="007A5A1C" w:rsidRPr="00206A4B">
        <w:t>assessment form will include:</w:t>
      </w:r>
    </w:p>
    <w:p w14:paraId="49736A5B" w14:textId="77777777" w:rsidR="007A5A1C" w:rsidRDefault="007A5A1C" w:rsidP="004960A3">
      <w:pPr>
        <w:pStyle w:val="BodyTextBold"/>
      </w:pPr>
    </w:p>
    <w:p w14:paraId="20905868" w14:textId="2DAFB9B0" w:rsidR="007A5A1C" w:rsidRPr="004960A3" w:rsidRDefault="007A5A1C" w:rsidP="004960A3">
      <w:pPr>
        <w:pStyle w:val="BodyTextBold"/>
        <w:rPr>
          <w:u w:val="single"/>
        </w:rPr>
      </w:pPr>
      <w:r w:rsidRPr="004960A3">
        <w:rPr>
          <w:u w:val="single"/>
        </w:rPr>
        <w:t>Section A</w:t>
      </w:r>
    </w:p>
    <w:p w14:paraId="63BC3E8C" w14:textId="08C99C31" w:rsidR="00DA6CF3" w:rsidRDefault="00DA6CF3" w:rsidP="004960A3">
      <w:pPr>
        <w:pStyle w:val="BodyTextBold"/>
        <w:numPr>
          <w:ilvl w:val="0"/>
          <w:numId w:val="10"/>
        </w:numPr>
      </w:pPr>
      <w:r>
        <w:t>Photograph</w:t>
      </w:r>
    </w:p>
    <w:p w14:paraId="6BD0D81B" w14:textId="77777777" w:rsidR="007A5A1C" w:rsidRPr="007A5A1C" w:rsidRDefault="007A5A1C" w:rsidP="004960A3">
      <w:pPr>
        <w:pStyle w:val="BodyTextBold"/>
        <w:numPr>
          <w:ilvl w:val="0"/>
          <w:numId w:val="10"/>
        </w:numPr>
      </w:pPr>
      <w:r w:rsidRPr="007A5A1C">
        <w:t>Entry Name</w:t>
      </w:r>
    </w:p>
    <w:p w14:paraId="5F16EA08" w14:textId="5D7D87CB" w:rsidR="007A5A1C" w:rsidRPr="007A5A1C" w:rsidRDefault="007A5A1C" w:rsidP="004960A3">
      <w:pPr>
        <w:pStyle w:val="BodyTextBold"/>
        <w:numPr>
          <w:ilvl w:val="0"/>
          <w:numId w:val="10"/>
        </w:numPr>
      </w:pPr>
      <w:r w:rsidRPr="007A5A1C">
        <w:t>Unique Identification Number</w:t>
      </w:r>
      <w:r>
        <w:t xml:space="preserve"> (composed of year assessed and chronological</w:t>
      </w:r>
      <w:r w:rsidR="00035017">
        <w:t xml:space="preserve"> number, for example 2019001, 2019002</w:t>
      </w:r>
      <w:r w:rsidR="005F30F7">
        <w:t>)</w:t>
      </w:r>
    </w:p>
    <w:p w14:paraId="1DE262AF" w14:textId="02861444" w:rsidR="007A5A1C" w:rsidRDefault="007A5A1C" w:rsidP="004960A3">
      <w:pPr>
        <w:pStyle w:val="BodyTextBold"/>
        <w:numPr>
          <w:ilvl w:val="0"/>
          <w:numId w:val="10"/>
        </w:numPr>
      </w:pPr>
      <w:r>
        <w:t xml:space="preserve">Site Address (including postcode </w:t>
      </w:r>
      <w:r>
        <w:rPr>
          <w:b/>
        </w:rPr>
        <w:t xml:space="preserve">or </w:t>
      </w:r>
      <w:r>
        <w:t>grid reference)</w:t>
      </w:r>
    </w:p>
    <w:p w14:paraId="6CC424E1" w14:textId="77777777" w:rsidR="007A5A1C" w:rsidRDefault="007A5A1C" w:rsidP="004960A3">
      <w:pPr>
        <w:pStyle w:val="BodyTextBold"/>
        <w:numPr>
          <w:ilvl w:val="0"/>
          <w:numId w:val="10"/>
        </w:numPr>
      </w:pPr>
      <w:r>
        <w:t>Conservation Area (where appropriate)</w:t>
      </w:r>
    </w:p>
    <w:p w14:paraId="6D03A544" w14:textId="3FE8256D" w:rsidR="004960A3" w:rsidRDefault="00156E5B" w:rsidP="004960A3">
      <w:pPr>
        <w:pStyle w:val="BodyTextBold"/>
        <w:numPr>
          <w:ilvl w:val="0"/>
          <w:numId w:val="10"/>
        </w:numPr>
      </w:pPr>
      <w:r>
        <w:t>Ward</w:t>
      </w:r>
    </w:p>
    <w:p w14:paraId="61FC92E2" w14:textId="620B77E6" w:rsidR="00403954" w:rsidRDefault="007A5A1C" w:rsidP="004960A3">
      <w:pPr>
        <w:pStyle w:val="BodyTextBold"/>
        <w:numPr>
          <w:ilvl w:val="0"/>
          <w:numId w:val="10"/>
        </w:numPr>
      </w:pPr>
      <w:r>
        <w:t>Original use and current use (where known</w:t>
      </w:r>
      <w:r w:rsidR="00403954">
        <w:t>)</w:t>
      </w:r>
    </w:p>
    <w:p w14:paraId="49E4D074" w14:textId="5B1A765F" w:rsidR="007A5A1C" w:rsidRDefault="00403954" w:rsidP="004960A3">
      <w:pPr>
        <w:pStyle w:val="BodyTextBold"/>
        <w:numPr>
          <w:ilvl w:val="0"/>
          <w:numId w:val="10"/>
        </w:numPr>
      </w:pPr>
      <w:r>
        <w:t>Site accessible (yes/no)</w:t>
      </w:r>
      <w:r w:rsidR="004960A3">
        <w:rPr>
          <w:rStyle w:val="FootnoteReference"/>
        </w:rPr>
        <w:footnoteReference w:id="4"/>
      </w:r>
    </w:p>
    <w:p w14:paraId="6BC40198" w14:textId="77777777" w:rsidR="007A5A1C" w:rsidRDefault="007A5A1C" w:rsidP="004960A3">
      <w:pPr>
        <w:pStyle w:val="BodyTextBold"/>
      </w:pPr>
    </w:p>
    <w:p w14:paraId="6D525C23" w14:textId="77777777" w:rsidR="004960A3" w:rsidRPr="004960A3" w:rsidRDefault="007A5A1C" w:rsidP="004960A3">
      <w:pPr>
        <w:pStyle w:val="BodyTextBold"/>
        <w:rPr>
          <w:u w:val="single"/>
        </w:rPr>
      </w:pPr>
      <w:r w:rsidRPr="004960A3">
        <w:rPr>
          <w:u w:val="single"/>
        </w:rPr>
        <w:t>Section B</w:t>
      </w:r>
    </w:p>
    <w:p w14:paraId="2D3379B8" w14:textId="77777777" w:rsidR="004960A3" w:rsidRPr="004960A3" w:rsidRDefault="00035017" w:rsidP="004960A3">
      <w:pPr>
        <w:pStyle w:val="BodyTextBold"/>
        <w:numPr>
          <w:ilvl w:val="0"/>
          <w:numId w:val="11"/>
        </w:numPr>
      </w:pPr>
      <w:r w:rsidRPr="004960A3">
        <w:t>Brief Description</w:t>
      </w:r>
      <w:r w:rsidR="004960A3">
        <w:rPr>
          <w:rStyle w:val="FootnoteReference"/>
        </w:rPr>
        <w:footnoteReference w:id="5"/>
      </w:r>
    </w:p>
    <w:p w14:paraId="42E489A3" w14:textId="77777777" w:rsidR="004960A3" w:rsidRPr="004960A3" w:rsidRDefault="007A5A1C" w:rsidP="004960A3">
      <w:pPr>
        <w:pStyle w:val="BodyTextBold"/>
        <w:numPr>
          <w:ilvl w:val="0"/>
          <w:numId w:val="11"/>
        </w:numPr>
      </w:pPr>
      <w:r w:rsidRPr="004960A3">
        <w:t>Assessment against criteria</w:t>
      </w:r>
    </w:p>
    <w:p w14:paraId="4913D1B3" w14:textId="77777777" w:rsidR="004960A3" w:rsidRPr="004960A3" w:rsidRDefault="007A5A1C" w:rsidP="004960A3">
      <w:pPr>
        <w:pStyle w:val="BodyTextBold"/>
        <w:numPr>
          <w:ilvl w:val="0"/>
          <w:numId w:val="11"/>
        </w:numPr>
      </w:pPr>
      <w:r w:rsidRPr="004960A3">
        <w:t>Notes (including any concerns)</w:t>
      </w:r>
    </w:p>
    <w:p w14:paraId="6ED72265" w14:textId="77777777" w:rsidR="004960A3" w:rsidRPr="004960A3" w:rsidRDefault="007A5A1C" w:rsidP="004960A3">
      <w:pPr>
        <w:pStyle w:val="BodyTextBold"/>
        <w:numPr>
          <w:ilvl w:val="0"/>
          <w:numId w:val="11"/>
        </w:numPr>
        <w:rPr>
          <w:rFonts w:ascii="Arial" w:hAnsi="Arial" w:cs="Arial"/>
          <w:i/>
          <w:lang w:eastAsia="en-GB"/>
        </w:rPr>
      </w:pPr>
      <w:r w:rsidRPr="004960A3">
        <w:t>Overall</w:t>
      </w:r>
      <w:r w:rsidR="00DA6CF3" w:rsidRPr="004960A3">
        <w:t xml:space="preserve"> condition</w:t>
      </w:r>
    </w:p>
    <w:p w14:paraId="30DC2A96" w14:textId="77777777" w:rsidR="004960A3" w:rsidRDefault="00035017" w:rsidP="004960A3">
      <w:pPr>
        <w:pStyle w:val="BodyTextBold"/>
        <w:numPr>
          <w:ilvl w:val="0"/>
          <w:numId w:val="12"/>
        </w:numPr>
        <w:rPr>
          <w:rFonts w:ascii="Arial" w:hAnsi="Arial" w:cs="Arial"/>
          <w:i/>
          <w:lang w:eastAsia="en-GB"/>
        </w:rPr>
      </w:pPr>
      <w:r w:rsidRPr="004960A3">
        <w:rPr>
          <w:rFonts w:ascii="Arial" w:hAnsi="Arial" w:cs="Arial"/>
          <w:b/>
          <w:i/>
          <w:lang w:eastAsia="en-GB"/>
        </w:rPr>
        <w:t>Good:</w:t>
      </w:r>
      <w:r w:rsidRPr="004960A3">
        <w:rPr>
          <w:rFonts w:ascii="Arial" w:hAnsi="Arial" w:cs="Arial"/>
          <w:i/>
          <w:lang w:eastAsia="en-GB"/>
        </w:rPr>
        <w:t xml:space="preserve"> Structurally sound, weathertight, no significant repairs required.</w:t>
      </w:r>
    </w:p>
    <w:p w14:paraId="4D6C09BE" w14:textId="77777777" w:rsidR="004960A3" w:rsidRDefault="00035017" w:rsidP="004960A3">
      <w:pPr>
        <w:pStyle w:val="BodyTextBold"/>
        <w:numPr>
          <w:ilvl w:val="0"/>
          <w:numId w:val="12"/>
        </w:numPr>
        <w:rPr>
          <w:rFonts w:ascii="Arial" w:hAnsi="Arial" w:cs="Arial"/>
          <w:i/>
          <w:lang w:eastAsia="en-GB"/>
        </w:rPr>
      </w:pPr>
      <w:r w:rsidRPr="004960A3">
        <w:rPr>
          <w:rFonts w:ascii="Arial" w:hAnsi="Arial" w:cs="Arial"/>
          <w:b/>
          <w:i/>
          <w:lang w:eastAsia="en-GB"/>
        </w:rPr>
        <w:t>Fair</w:t>
      </w:r>
      <w:r w:rsidR="00DA6CF3" w:rsidRPr="004960A3">
        <w:rPr>
          <w:rFonts w:ascii="Arial" w:hAnsi="Arial" w:cs="Arial"/>
          <w:b/>
          <w:i/>
          <w:lang w:eastAsia="en-GB"/>
        </w:rPr>
        <w:t>:</w:t>
      </w:r>
      <w:r w:rsidR="00DA6CF3" w:rsidRPr="004960A3">
        <w:rPr>
          <w:rFonts w:ascii="Arial" w:hAnsi="Arial" w:cs="Arial"/>
          <w:i/>
          <w:lang w:eastAsia="en-GB"/>
        </w:rPr>
        <w:t xml:space="preserve"> </w:t>
      </w:r>
      <w:r w:rsidRPr="004960A3">
        <w:rPr>
          <w:rFonts w:ascii="Arial" w:hAnsi="Arial" w:cs="Arial"/>
          <w:i/>
          <w:lang w:eastAsia="en-GB"/>
        </w:rPr>
        <w:t xml:space="preserve">Structurally </w:t>
      </w:r>
      <w:proofErr w:type="gramStart"/>
      <w:r w:rsidRPr="004960A3">
        <w:rPr>
          <w:rFonts w:ascii="Arial" w:hAnsi="Arial" w:cs="Arial"/>
          <w:i/>
          <w:lang w:eastAsia="en-GB"/>
        </w:rPr>
        <w:t>sound, but</w:t>
      </w:r>
      <w:proofErr w:type="gramEnd"/>
      <w:r w:rsidRPr="004960A3">
        <w:rPr>
          <w:rFonts w:ascii="Arial" w:hAnsi="Arial" w:cs="Arial"/>
          <w:i/>
          <w:lang w:eastAsia="en-GB"/>
        </w:rPr>
        <w:t xml:space="preserve"> needing minor repairs or showing signs of a lack of general maintenance.</w:t>
      </w:r>
    </w:p>
    <w:p w14:paraId="61CBBF54" w14:textId="3EAB51C0" w:rsidR="00DA6CF3" w:rsidRPr="004960A3" w:rsidRDefault="00035017" w:rsidP="004960A3">
      <w:pPr>
        <w:pStyle w:val="BodyTextBold"/>
        <w:numPr>
          <w:ilvl w:val="0"/>
          <w:numId w:val="12"/>
        </w:numPr>
        <w:rPr>
          <w:rFonts w:ascii="Arial" w:hAnsi="Arial" w:cs="Arial"/>
          <w:i/>
          <w:lang w:eastAsia="en-GB"/>
        </w:rPr>
      </w:pPr>
      <w:r w:rsidRPr="004960A3">
        <w:rPr>
          <w:rFonts w:ascii="Arial" w:hAnsi="Arial" w:cs="Arial"/>
          <w:b/>
          <w:i/>
          <w:lang w:eastAsia="en-GB"/>
        </w:rPr>
        <w:t>Poor</w:t>
      </w:r>
      <w:r w:rsidR="00DA6CF3" w:rsidRPr="004960A3">
        <w:rPr>
          <w:rFonts w:ascii="Arial" w:hAnsi="Arial" w:cs="Arial"/>
          <w:b/>
          <w:i/>
          <w:lang w:eastAsia="en-GB"/>
        </w:rPr>
        <w:t>:</w:t>
      </w:r>
      <w:r w:rsidR="00DA6CF3" w:rsidRPr="004960A3">
        <w:rPr>
          <w:rFonts w:ascii="Arial" w:hAnsi="Arial" w:cs="Arial"/>
          <w:i/>
          <w:lang w:eastAsia="en-GB"/>
        </w:rPr>
        <w:t xml:space="preserve"> </w:t>
      </w:r>
      <w:r w:rsidRPr="004960A3">
        <w:rPr>
          <w:rFonts w:ascii="Arial" w:hAnsi="Arial" w:cs="Arial"/>
          <w:i/>
          <w:lang w:eastAsia="en-GB"/>
        </w:rPr>
        <w:t xml:space="preserve">Deteriorating masonry and/or leaking roof and/or defective rainwater goods usually accompanied by rot outbreaks within and general deterioration of most elements of the building </w:t>
      </w:r>
      <w:r w:rsidRPr="004960A3">
        <w:rPr>
          <w:rFonts w:ascii="Arial" w:hAnsi="Arial" w:cs="Arial"/>
          <w:i/>
          <w:lang w:eastAsia="en-GB"/>
        </w:rPr>
        <w:lastRenderedPageBreak/>
        <w:t>fabric, including external joinery; or where there has been a fire or other disaster which has affected part of the building.</w:t>
      </w:r>
    </w:p>
    <w:p w14:paraId="49CEF0CF" w14:textId="3D70EC49" w:rsidR="00403954" w:rsidRDefault="00035017" w:rsidP="004960A3">
      <w:pPr>
        <w:pStyle w:val="BodyTextBold"/>
        <w:numPr>
          <w:ilvl w:val="0"/>
          <w:numId w:val="12"/>
        </w:numPr>
        <w:rPr>
          <w:rFonts w:ascii="Arial" w:hAnsi="Arial" w:cs="Arial"/>
          <w:i/>
          <w:lang w:eastAsia="en-GB"/>
        </w:rPr>
      </w:pPr>
      <w:r w:rsidRPr="008B08E1">
        <w:rPr>
          <w:rFonts w:ascii="Arial" w:hAnsi="Arial" w:cs="Arial"/>
          <w:b/>
          <w:i/>
          <w:lang w:eastAsia="en-GB"/>
        </w:rPr>
        <w:t>Very bad</w:t>
      </w:r>
      <w:r w:rsidR="00DA6CF3" w:rsidRPr="008B08E1">
        <w:rPr>
          <w:rFonts w:ascii="Arial" w:hAnsi="Arial" w:cs="Arial"/>
          <w:b/>
          <w:i/>
          <w:lang w:eastAsia="en-GB"/>
        </w:rPr>
        <w:t>:</w:t>
      </w:r>
      <w:r w:rsidR="00DA6CF3" w:rsidRPr="00DA6CF3">
        <w:rPr>
          <w:rFonts w:ascii="Arial" w:hAnsi="Arial" w:cs="Arial"/>
          <w:i/>
          <w:lang w:eastAsia="en-GB"/>
        </w:rPr>
        <w:t xml:space="preserve"> </w:t>
      </w:r>
      <w:r w:rsidRPr="00DA6CF3">
        <w:rPr>
          <w:rFonts w:ascii="Arial" w:hAnsi="Arial" w:cs="Arial"/>
          <w:i/>
          <w:lang w:eastAsia="en-GB"/>
        </w:rPr>
        <w:t>Structural failure/instability and/or loss of significant areas of roof covering leading to major deterioration of interior; or where there has been a major fire or other disaster which has affected most of the building</w:t>
      </w:r>
      <w:r w:rsidR="00403954">
        <w:rPr>
          <w:rFonts w:ascii="Arial" w:hAnsi="Arial" w:cs="Arial"/>
          <w:i/>
          <w:lang w:eastAsia="en-GB"/>
        </w:rPr>
        <w:t>.</w:t>
      </w:r>
    </w:p>
    <w:p w14:paraId="471B9F21" w14:textId="47164C10" w:rsidR="00035017" w:rsidRPr="00DA6CF3" w:rsidRDefault="00403954" w:rsidP="004960A3">
      <w:pPr>
        <w:pStyle w:val="BodyTextBold"/>
        <w:numPr>
          <w:ilvl w:val="0"/>
          <w:numId w:val="12"/>
        </w:numPr>
        <w:rPr>
          <w:rFonts w:ascii="Arial" w:hAnsi="Arial" w:cs="Arial"/>
          <w:i/>
          <w:lang w:eastAsia="en-GB"/>
        </w:rPr>
      </w:pPr>
      <w:r>
        <w:rPr>
          <w:rFonts w:ascii="Arial" w:hAnsi="Arial" w:cs="Arial"/>
          <w:i/>
          <w:lang w:eastAsia="en-GB"/>
        </w:rPr>
        <w:t>Unable to determine (limited access or visibility)</w:t>
      </w:r>
      <w:r w:rsidR="00035017" w:rsidRPr="00DA6CF3">
        <w:rPr>
          <w:rFonts w:ascii="Arial" w:hAnsi="Arial" w:cs="Arial"/>
          <w:i/>
          <w:lang w:eastAsia="en-GB"/>
        </w:rPr>
        <w:t>.</w:t>
      </w:r>
    </w:p>
    <w:p w14:paraId="5040EBD0" w14:textId="5986BC5A" w:rsidR="00035017" w:rsidRDefault="007A5A1C" w:rsidP="004960A3">
      <w:pPr>
        <w:pStyle w:val="BodyTextBold"/>
        <w:numPr>
          <w:ilvl w:val="0"/>
          <w:numId w:val="13"/>
        </w:numPr>
      </w:pPr>
      <w:r>
        <w:t xml:space="preserve">Date </w:t>
      </w:r>
      <w:proofErr w:type="gramStart"/>
      <w:r>
        <w:t>assessed</w:t>
      </w:r>
      <w:proofErr w:type="gramEnd"/>
    </w:p>
    <w:p w14:paraId="20F4B352" w14:textId="77777777" w:rsidR="004960A3" w:rsidRPr="002C7347" w:rsidRDefault="004960A3" w:rsidP="004960A3">
      <w:pPr>
        <w:pStyle w:val="BodyTextBold"/>
        <w:ind w:left="360"/>
      </w:pPr>
    </w:p>
    <w:p w14:paraId="0CCA5F0B" w14:textId="00221640" w:rsidR="00035017" w:rsidRPr="004960A3" w:rsidRDefault="00035017" w:rsidP="004960A3">
      <w:pPr>
        <w:pStyle w:val="BodyTextBold"/>
        <w:rPr>
          <w:u w:val="single"/>
        </w:rPr>
      </w:pPr>
      <w:r w:rsidRPr="004960A3">
        <w:rPr>
          <w:u w:val="single"/>
        </w:rPr>
        <w:t>Section C</w:t>
      </w:r>
    </w:p>
    <w:p w14:paraId="4AACEED4" w14:textId="38F5C579" w:rsidR="00035017" w:rsidRDefault="00035017" w:rsidP="004960A3">
      <w:pPr>
        <w:pStyle w:val="BodyTextBold"/>
        <w:numPr>
          <w:ilvl w:val="0"/>
          <w:numId w:val="13"/>
        </w:numPr>
      </w:pPr>
      <w:r>
        <w:t>Recommendation</w:t>
      </w:r>
      <w:r w:rsidR="00DA6CF3">
        <w:t xml:space="preserve"> (inclusion or not inclusion</w:t>
      </w:r>
      <w:r w:rsidR="00887AB5">
        <w:t xml:space="preserve">, </w:t>
      </w:r>
      <w:proofErr w:type="gramStart"/>
      <w:r w:rsidR="00887AB5">
        <w:t>retention</w:t>
      </w:r>
      <w:proofErr w:type="gramEnd"/>
      <w:r w:rsidR="00887AB5">
        <w:t xml:space="preserve"> or removal</w:t>
      </w:r>
      <w:r w:rsidR="00DA6CF3">
        <w:t>)</w:t>
      </w:r>
    </w:p>
    <w:p w14:paraId="098D9912" w14:textId="77777777" w:rsidR="00206A4B" w:rsidRPr="00206A4B" w:rsidRDefault="00206A4B" w:rsidP="00206A4B">
      <w:pPr>
        <w:pStyle w:val="Heading3"/>
        <w:jc w:val="both"/>
        <w:rPr>
          <w:b/>
          <w:sz w:val="22"/>
        </w:rPr>
      </w:pPr>
    </w:p>
    <w:p w14:paraId="1835EE5B" w14:textId="77777777" w:rsidR="00206A4B" w:rsidRPr="00206A4B" w:rsidRDefault="00206A4B" w:rsidP="00206A4B">
      <w:pPr>
        <w:pStyle w:val="Heading3"/>
        <w:jc w:val="both"/>
        <w:rPr>
          <w:b/>
          <w:sz w:val="22"/>
        </w:rPr>
      </w:pPr>
    </w:p>
    <w:p w14:paraId="6805CFFB" w14:textId="77777777" w:rsidR="00206A4B" w:rsidRPr="00206A4B" w:rsidRDefault="00206A4B" w:rsidP="00206A4B">
      <w:pPr>
        <w:pStyle w:val="Heading3"/>
        <w:jc w:val="both"/>
        <w:rPr>
          <w:b/>
          <w:sz w:val="22"/>
        </w:rPr>
      </w:pPr>
      <w:r w:rsidRPr="00206A4B">
        <w:rPr>
          <w:b/>
          <w:sz w:val="22"/>
        </w:rPr>
        <w:t>Nominations</w:t>
      </w:r>
    </w:p>
    <w:p w14:paraId="5D28159C" w14:textId="25A9142E" w:rsidR="004960A3" w:rsidRDefault="004960A3" w:rsidP="004960A3">
      <w:pPr>
        <w:pStyle w:val="BodyTextBold"/>
      </w:pPr>
      <w:r>
        <w:t>Nomination pro-</w:t>
      </w:r>
      <w:proofErr w:type="spellStart"/>
      <w:r>
        <w:t>formas</w:t>
      </w:r>
      <w:proofErr w:type="spellEnd"/>
      <w:r>
        <w:t xml:space="preserve"> will be assessed against the </w:t>
      </w:r>
      <w:r w:rsidR="005F30F7">
        <w:t>above</w:t>
      </w:r>
      <w:r>
        <w:t xml:space="preserve"> criteria, however, w</w:t>
      </w:r>
      <w:r w:rsidR="00206A4B" w:rsidRPr="00206A4B">
        <w:t xml:space="preserve">here nominations benefit from a national designation such as Listed Buildings these </w:t>
      </w:r>
      <w:r>
        <w:t>will be</w:t>
      </w:r>
      <w:r w:rsidR="00206A4B" w:rsidRPr="00206A4B">
        <w:t xml:space="preserve"> omitted from further assessment to avoid ‘double designation</w:t>
      </w:r>
      <w:r w:rsidRPr="00206A4B">
        <w:t>.’</w:t>
      </w:r>
    </w:p>
    <w:p w14:paraId="1A829123" w14:textId="77777777" w:rsidR="004960A3" w:rsidRDefault="004960A3" w:rsidP="004960A3">
      <w:pPr>
        <w:pStyle w:val="BodyTextBold"/>
      </w:pPr>
    </w:p>
    <w:p w14:paraId="1C1A816A" w14:textId="77777777" w:rsidR="004960A3" w:rsidRPr="004960A3" w:rsidRDefault="004960A3" w:rsidP="004960A3">
      <w:pPr>
        <w:pStyle w:val="Heading3"/>
        <w:jc w:val="both"/>
        <w:rPr>
          <w:b/>
          <w:sz w:val="22"/>
        </w:rPr>
      </w:pPr>
      <w:r w:rsidRPr="004960A3">
        <w:rPr>
          <w:b/>
          <w:sz w:val="22"/>
        </w:rPr>
        <w:t>A</w:t>
      </w:r>
      <w:r w:rsidR="00915EE0" w:rsidRPr="004960A3">
        <w:rPr>
          <w:b/>
          <w:sz w:val="22"/>
        </w:rPr>
        <w:t>dditional Considerations</w:t>
      </w:r>
    </w:p>
    <w:p w14:paraId="5BD669C0" w14:textId="77777777" w:rsidR="00FE0DF7" w:rsidRDefault="003B23AD" w:rsidP="00FE0DF7">
      <w:pPr>
        <w:pStyle w:val="BodyTextBold"/>
        <w:rPr>
          <w:rFonts w:cstheme="majorHAnsi"/>
          <w:u w:val="single"/>
        </w:rPr>
      </w:pPr>
      <w:r w:rsidRPr="000B1EF0">
        <w:rPr>
          <w:rFonts w:cstheme="majorHAnsi"/>
          <w:u w:val="single"/>
        </w:rPr>
        <w:t>Access</w:t>
      </w:r>
    </w:p>
    <w:p w14:paraId="4D8BB725" w14:textId="77777777" w:rsidR="00FE0DF7" w:rsidRDefault="003B23AD" w:rsidP="00FE0DF7">
      <w:pPr>
        <w:pStyle w:val="BodyTextBold"/>
        <w:rPr>
          <w:rFonts w:cstheme="majorHAnsi"/>
        </w:rPr>
      </w:pPr>
      <w:r w:rsidRPr="000B1EF0">
        <w:rPr>
          <w:rFonts w:cstheme="majorHAnsi"/>
        </w:rPr>
        <w:t>Assessments are undertaken from the public realm. Where a nomination is not visible from the public realm an assessment cannot be undertaken. The local planning authority may wish to arrange independent access to private land to facilitate an assessment to be undertaken.</w:t>
      </w:r>
    </w:p>
    <w:p w14:paraId="3E7231BE" w14:textId="77777777" w:rsidR="00FE0DF7" w:rsidRDefault="00FE0DF7" w:rsidP="00FE0DF7">
      <w:pPr>
        <w:pStyle w:val="BodyTextBold"/>
        <w:rPr>
          <w:rFonts w:cstheme="majorHAnsi"/>
        </w:rPr>
      </w:pPr>
    </w:p>
    <w:p w14:paraId="79D70042" w14:textId="77777777" w:rsidR="00FE0DF7" w:rsidRDefault="003B23AD" w:rsidP="00FE0DF7">
      <w:pPr>
        <w:pStyle w:val="BodyTextBold"/>
        <w:rPr>
          <w:rFonts w:cstheme="majorHAnsi"/>
          <w:u w:val="single"/>
        </w:rPr>
      </w:pPr>
      <w:r w:rsidRPr="000B1EF0">
        <w:rPr>
          <w:rFonts w:cstheme="majorHAnsi"/>
          <w:u w:val="single"/>
        </w:rPr>
        <w:t>Unauthorised Works</w:t>
      </w:r>
    </w:p>
    <w:p w14:paraId="5A574118" w14:textId="2C6265B2" w:rsidR="00FC314A" w:rsidRDefault="003B23AD" w:rsidP="00FE0DF7">
      <w:pPr>
        <w:pStyle w:val="BodyTextBold"/>
        <w:rPr>
          <w:rFonts w:cstheme="majorHAnsi"/>
        </w:rPr>
      </w:pPr>
      <w:r w:rsidRPr="000B1EF0">
        <w:rPr>
          <w:rFonts w:cstheme="majorHAnsi"/>
        </w:rPr>
        <w:t>Whilst these assessments may identify alterations or extensions which are unfavourable, no research has not been undertaken to determine whether these have the benefit of the appropriate permissions. Inclusion or exclusion from this report does not imply acceptability.</w:t>
      </w:r>
    </w:p>
    <w:p w14:paraId="055F49B0" w14:textId="77777777" w:rsidR="00EB28F0" w:rsidRDefault="00EB28F0" w:rsidP="00FE0DF7">
      <w:pPr>
        <w:pStyle w:val="BodyTextBold"/>
        <w:rPr>
          <w:rFonts w:cstheme="majorHAnsi"/>
        </w:rPr>
      </w:pPr>
    </w:p>
    <w:p w14:paraId="5EAA4F0C" w14:textId="77777777" w:rsidR="00FE0DF7" w:rsidRDefault="00915EE0" w:rsidP="00FE0DF7">
      <w:pPr>
        <w:pStyle w:val="BodyTextBold"/>
        <w:rPr>
          <w:rFonts w:cstheme="majorHAnsi"/>
          <w:u w:val="single"/>
        </w:rPr>
      </w:pPr>
      <w:r w:rsidRPr="000B1EF0">
        <w:rPr>
          <w:rFonts w:cstheme="majorHAnsi"/>
          <w:u w:val="single"/>
        </w:rPr>
        <w:t>Condition</w:t>
      </w:r>
    </w:p>
    <w:p w14:paraId="5DCC652B" w14:textId="587D6C23" w:rsidR="00915EE0" w:rsidRPr="00FE0DF7" w:rsidRDefault="00915EE0" w:rsidP="00FE0DF7">
      <w:pPr>
        <w:pStyle w:val="BodyTextBold"/>
        <w:rPr>
          <w:rFonts w:cstheme="majorHAnsi"/>
          <w:u w:val="single"/>
        </w:rPr>
      </w:pPr>
      <w:r w:rsidRPr="000B1EF0">
        <w:t xml:space="preserve">This assessment includes a summary of condition. </w:t>
      </w:r>
      <w:r>
        <w:t xml:space="preserve">This summary is based upon available access and should not be considered definitive or conclusive. </w:t>
      </w:r>
      <w:r w:rsidRPr="000B1EF0">
        <w:t xml:space="preserve">This is intended as an initial assessment to highlight the requirement for further action and to assist in the deliberation of the appropriateness of withdrawing Permitted Development Rights. </w:t>
      </w:r>
    </w:p>
    <w:p w14:paraId="304501B0" w14:textId="0C77A787" w:rsidR="00FD2C84" w:rsidRDefault="00795DD0" w:rsidP="00795DD0">
      <w:pPr>
        <w:pStyle w:val="Heading3"/>
        <w:jc w:val="both"/>
        <w:rPr>
          <w:b/>
          <w:sz w:val="22"/>
        </w:rPr>
      </w:pPr>
      <w:r w:rsidRPr="00795DD0">
        <w:rPr>
          <w:b/>
          <w:sz w:val="22"/>
        </w:rPr>
        <w:lastRenderedPageBreak/>
        <w:t>Local List Proforma</w:t>
      </w:r>
    </w:p>
    <w:p w14:paraId="7A49D9B3" w14:textId="1B605AFA" w:rsidR="00795DD0" w:rsidRDefault="00795DD0" w:rsidP="00795DD0">
      <w:pPr>
        <w:rPr>
          <w:rFonts w:ascii="Arial" w:hAnsi="Arial" w:cs="Arial"/>
          <w:b/>
          <w:szCs w:val="20"/>
        </w:rPr>
      </w:pPr>
      <w:bookmarkStart w:id="6" w:name="_Hlk80023327"/>
      <w:r>
        <w:rPr>
          <w:rFonts w:ascii="Arial" w:hAnsi="Arial" w:cs="Arial"/>
          <w:b/>
          <w:szCs w:val="20"/>
        </w:rPr>
        <w:t>Section A: General Information</w:t>
      </w:r>
    </w:p>
    <w:p w14:paraId="5A8EDF5E" w14:textId="77777777" w:rsidR="00F17F1E" w:rsidRDefault="00F17F1E" w:rsidP="00795DD0">
      <w:pPr>
        <w:rPr>
          <w:rFonts w:ascii="Arial" w:hAnsi="Arial" w:cs="Arial"/>
          <w:b/>
          <w:color w:val="auto"/>
          <w:spacing w:val="0"/>
          <w:szCs w:val="20"/>
        </w:rPr>
      </w:pPr>
    </w:p>
    <w:tbl>
      <w:tblPr>
        <w:tblStyle w:val="TableGrid"/>
        <w:tblW w:w="0" w:type="auto"/>
        <w:tblLook w:val="04A0" w:firstRow="1" w:lastRow="0" w:firstColumn="1" w:lastColumn="0" w:noHBand="0" w:noVBand="1"/>
      </w:tblPr>
      <w:tblGrid>
        <w:gridCol w:w="2245"/>
        <w:gridCol w:w="563"/>
        <w:gridCol w:w="561"/>
        <w:gridCol w:w="562"/>
        <w:gridCol w:w="561"/>
        <w:gridCol w:w="6044"/>
      </w:tblGrid>
      <w:tr w:rsidR="00795DD0" w14:paraId="36F50D76"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E31B0EB" w14:textId="77777777" w:rsidR="00795DD0" w:rsidRDefault="00795DD0">
            <w:pPr>
              <w:spacing w:line="240" w:lineRule="auto"/>
              <w:rPr>
                <w:rFonts w:ascii="Arial" w:hAnsi="Arial" w:cs="Arial"/>
                <w:szCs w:val="20"/>
              </w:rPr>
            </w:pPr>
            <w:r>
              <w:rPr>
                <w:rFonts w:ascii="Arial" w:hAnsi="Arial" w:cs="Arial"/>
                <w:szCs w:val="20"/>
              </w:rPr>
              <w:t>1. Name</w:t>
            </w:r>
          </w:p>
        </w:tc>
        <w:tc>
          <w:tcPr>
            <w:tcW w:w="8344" w:type="dxa"/>
            <w:gridSpan w:val="5"/>
            <w:tcBorders>
              <w:top w:val="single" w:sz="4" w:space="0" w:color="auto"/>
              <w:left w:val="single" w:sz="4" w:space="0" w:color="auto"/>
              <w:bottom w:val="single" w:sz="4" w:space="0" w:color="auto"/>
              <w:right w:val="single" w:sz="4" w:space="0" w:color="auto"/>
            </w:tcBorders>
            <w:hideMark/>
          </w:tcPr>
          <w:p w14:paraId="535D222D" w14:textId="77777777" w:rsidR="00795DD0" w:rsidRDefault="00795DD0">
            <w:pPr>
              <w:rPr>
                <w:rFonts w:ascii="Arial" w:hAnsi="Arial" w:cs="Arial"/>
                <w:szCs w:val="20"/>
              </w:rPr>
            </w:pPr>
          </w:p>
        </w:tc>
      </w:tr>
      <w:tr w:rsidR="00795DD0" w14:paraId="02E35502"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2123E08" w14:textId="77777777" w:rsidR="00795DD0" w:rsidRDefault="00795DD0">
            <w:pPr>
              <w:spacing w:line="240" w:lineRule="auto"/>
              <w:rPr>
                <w:rFonts w:ascii="Arial" w:hAnsi="Arial" w:cs="Arial"/>
                <w:szCs w:val="20"/>
              </w:rPr>
            </w:pPr>
            <w:r>
              <w:rPr>
                <w:rFonts w:ascii="Arial" w:hAnsi="Arial" w:cs="Arial"/>
                <w:szCs w:val="20"/>
              </w:rPr>
              <w:t>2. UID</w:t>
            </w:r>
          </w:p>
        </w:tc>
        <w:tc>
          <w:tcPr>
            <w:tcW w:w="2254" w:type="dxa"/>
            <w:gridSpan w:val="4"/>
            <w:tcBorders>
              <w:top w:val="single" w:sz="4" w:space="0" w:color="auto"/>
              <w:left w:val="single" w:sz="4" w:space="0" w:color="auto"/>
              <w:bottom w:val="single" w:sz="4" w:space="0" w:color="auto"/>
              <w:right w:val="single" w:sz="4" w:space="0" w:color="auto"/>
            </w:tcBorders>
          </w:tcPr>
          <w:p w14:paraId="40E2B4C3" w14:textId="77777777" w:rsidR="00795DD0" w:rsidRDefault="00795DD0">
            <w:pPr>
              <w:spacing w:line="240" w:lineRule="auto"/>
              <w:rPr>
                <w:rFonts w:ascii="Arial" w:hAnsi="Arial" w:cs="Arial"/>
                <w:szCs w:val="20"/>
              </w:rPr>
            </w:pPr>
          </w:p>
        </w:tc>
        <w:tc>
          <w:tcPr>
            <w:tcW w:w="6090" w:type="dxa"/>
            <w:vMerge w:val="restart"/>
            <w:tcBorders>
              <w:top w:val="single" w:sz="4" w:space="0" w:color="auto"/>
              <w:left w:val="single" w:sz="4" w:space="0" w:color="auto"/>
              <w:bottom w:val="single" w:sz="4" w:space="0" w:color="auto"/>
              <w:right w:val="single" w:sz="4" w:space="0" w:color="auto"/>
            </w:tcBorders>
          </w:tcPr>
          <w:p w14:paraId="543D806B" w14:textId="77777777" w:rsidR="00795DD0" w:rsidRDefault="00795DD0">
            <w:pPr>
              <w:spacing w:line="240" w:lineRule="auto"/>
              <w:rPr>
                <w:rFonts w:ascii="Arial" w:hAnsi="Arial" w:cs="Arial"/>
                <w:szCs w:val="20"/>
              </w:rPr>
            </w:pPr>
          </w:p>
          <w:p w14:paraId="56747212" w14:textId="77777777" w:rsidR="00795DD0" w:rsidRDefault="00795DD0">
            <w:pPr>
              <w:spacing w:line="240" w:lineRule="auto"/>
              <w:rPr>
                <w:rFonts w:ascii="Arial" w:hAnsi="Arial" w:cs="Arial"/>
                <w:szCs w:val="20"/>
              </w:rPr>
            </w:pPr>
          </w:p>
          <w:p w14:paraId="4C48F747" w14:textId="77777777" w:rsidR="00795DD0" w:rsidRDefault="00795DD0">
            <w:pPr>
              <w:spacing w:line="240" w:lineRule="auto"/>
              <w:rPr>
                <w:rFonts w:ascii="Arial" w:hAnsi="Arial" w:cs="Arial"/>
                <w:szCs w:val="20"/>
              </w:rPr>
            </w:pPr>
          </w:p>
          <w:p w14:paraId="2643375C" w14:textId="77777777" w:rsidR="00795DD0" w:rsidRDefault="00795DD0">
            <w:pPr>
              <w:spacing w:line="240" w:lineRule="auto"/>
              <w:jc w:val="center"/>
              <w:rPr>
                <w:rFonts w:ascii="Arial" w:hAnsi="Arial" w:cs="Arial"/>
                <w:color w:val="FF0000"/>
                <w:szCs w:val="20"/>
              </w:rPr>
            </w:pPr>
            <w:r>
              <w:rPr>
                <w:rFonts w:ascii="Arial" w:hAnsi="Arial" w:cs="Arial"/>
                <w:color w:val="FF0000"/>
                <w:szCs w:val="20"/>
              </w:rPr>
              <w:t>Insert Photograph</w:t>
            </w:r>
          </w:p>
          <w:p w14:paraId="7BAF92B8" w14:textId="77777777" w:rsidR="00795DD0" w:rsidRDefault="00795DD0">
            <w:pPr>
              <w:spacing w:line="240" w:lineRule="auto"/>
              <w:jc w:val="center"/>
              <w:rPr>
                <w:rFonts w:ascii="Arial" w:hAnsi="Arial" w:cs="Arial"/>
                <w:color w:val="FF0000"/>
                <w:szCs w:val="20"/>
              </w:rPr>
            </w:pPr>
          </w:p>
          <w:p w14:paraId="199C95EE" w14:textId="77777777" w:rsidR="00795DD0" w:rsidRDefault="00795DD0">
            <w:pPr>
              <w:spacing w:line="240" w:lineRule="auto"/>
              <w:jc w:val="center"/>
              <w:rPr>
                <w:rFonts w:ascii="Arial" w:hAnsi="Arial" w:cs="Arial"/>
                <w:color w:val="FF0000"/>
                <w:szCs w:val="20"/>
              </w:rPr>
            </w:pPr>
          </w:p>
          <w:p w14:paraId="27309352" w14:textId="77777777" w:rsidR="00795DD0" w:rsidRDefault="00795DD0">
            <w:pPr>
              <w:spacing w:line="240" w:lineRule="auto"/>
              <w:jc w:val="center"/>
              <w:rPr>
                <w:rFonts w:ascii="Arial" w:hAnsi="Arial" w:cs="Arial"/>
                <w:color w:val="FF0000"/>
                <w:szCs w:val="20"/>
              </w:rPr>
            </w:pPr>
          </w:p>
          <w:p w14:paraId="0D906BB0" w14:textId="77777777" w:rsidR="00795DD0" w:rsidRDefault="00795DD0">
            <w:pPr>
              <w:spacing w:line="240" w:lineRule="auto"/>
              <w:jc w:val="center"/>
              <w:rPr>
                <w:rFonts w:ascii="Arial" w:hAnsi="Arial" w:cs="Arial"/>
                <w:color w:val="FF0000"/>
                <w:szCs w:val="20"/>
              </w:rPr>
            </w:pPr>
          </w:p>
          <w:p w14:paraId="787FE992" w14:textId="77777777" w:rsidR="00795DD0" w:rsidRDefault="00795DD0">
            <w:pPr>
              <w:spacing w:line="240" w:lineRule="auto"/>
              <w:jc w:val="center"/>
              <w:rPr>
                <w:rFonts w:ascii="Arial" w:hAnsi="Arial" w:cs="Arial"/>
                <w:color w:val="FF0000"/>
                <w:szCs w:val="20"/>
              </w:rPr>
            </w:pPr>
          </w:p>
          <w:p w14:paraId="5E306D70" w14:textId="77777777" w:rsidR="00795DD0" w:rsidRDefault="00795DD0">
            <w:pPr>
              <w:spacing w:line="240" w:lineRule="auto"/>
              <w:rPr>
                <w:rFonts w:ascii="Arial" w:hAnsi="Arial" w:cs="Arial"/>
                <w:color w:val="auto"/>
                <w:szCs w:val="20"/>
              </w:rPr>
            </w:pPr>
          </w:p>
        </w:tc>
      </w:tr>
      <w:tr w:rsidR="00795DD0" w14:paraId="163BBAAC"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6640CFBE" w14:textId="77777777" w:rsidR="00795DD0" w:rsidRDefault="00795DD0">
            <w:pPr>
              <w:spacing w:line="240" w:lineRule="auto"/>
              <w:rPr>
                <w:rFonts w:ascii="Arial" w:hAnsi="Arial" w:cs="Arial"/>
                <w:szCs w:val="20"/>
              </w:rPr>
            </w:pPr>
            <w:r>
              <w:rPr>
                <w:rFonts w:ascii="Arial" w:hAnsi="Arial" w:cs="Arial"/>
                <w:szCs w:val="20"/>
              </w:rPr>
              <w:t>3. Address</w:t>
            </w:r>
          </w:p>
        </w:tc>
        <w:tc>
          <w:tcPr>
            <w:tcW w:w="2254" w:type="dxa"/>
            <w:gridSpan w:val="4"/>
            <w:tcBorders>
              <w:top w:val="single" w:sz="4" w:space="0" w:color="auto"/>
              <w:left w:val="single" w:sz="4" w:space="0" w:color="auto"/>
              <w:bottom w:val="single" w:sz="4" w:space="0" w:color="auto"/>
              <w:right w:val="single" w:sz="4" w:space="0" w:color="auto"/>
            </w:tcBorders>
            <w:hideMark/>
          </w:tcPr>
          <w:p w14:paraId="5F6E97B2" w14:textId="77777777" w:rsidR="00795DD0" w:rsidRDefault="00795DD0">
            <w:pPr>
              <w:rPr>
                <w:rFonts w:ascii="Arial" w:hAnsi="Arial" w:cs="Arial"/>
                <w:szCs w:val="20"/>
              </w:rPr>
            </w:pPr>
          </w:p>
        </w:tc>
        <w:tc>
          <w:tcPr>
            <w:tcW w:w="6090" w:type="dxa"/>
            <w:vMerge/>
            <w:tcBorders>
              <w:top w:val="single" w:sz="4" w:space="0" w:color="auto"/>
              <w:left w:val="single" w:sz="4" w:space="0" w:color="auto"/>
              <w:bottom w:val="single" w:sz="4" w:space="0" w:color="auto"/>
              <w:right w:val="single" w:sz="4" w:space="0" w:color="auto"/>
            </w:tcBorders>
            <w:vAlign w:val="center"/>
            <w:hideMark/>
          </w:tcPr>
          <w:p w14:paraId="30BE792F" w14:textId="77777777" w:rsidR="00795DD0" w:rsidRDefault="00795DD0">
            <w:pPr>
              <w:spacing w:line="240" w:lineRule="auto"/>
              <w:rPr>
                <w:rFonts w:ascii="Arial" w:hAnsi="Arial" w:cs="Arial"/>
                <w:szCs w:val="20"/>
              </w:rPr>
            </w:pPr>
          </w:p>
        </w:tc>
      </w:tr>
      <w:tr w:rsidR="00795DD0" w14:paraId="321F8BDE"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0C750D9D" w14:textId="77777777" w:rsidR="00795DD0" w:rsidRDefault="00795DD0">
            <w:pPr>
              <w:spacing w:line="240" w:lineRule="auto"/>
              <w:rPr>
                <w:rFonts w:ascii="Arial" w:hAnsi="Arial" w:cs="Arial"/>
                <w:szCs w:val="20"/>
              </w:rPr>
            </w:pPr>
            <w:r>
              <w:rPr>
                <w:rFonts w:ascii="Arial" w:hAnsi="Arial" w:cs="Arial"/>
                <w:szCs w:val="20"/>
              </w:rPr>
              <w:t>4. Postcode</w:t>
            </w:r>
          </w:p>
        </w:tc>
        <w:tc>
          <w:tcPr>
            <w:tcW w:w="2254" w:type="dxa"/>
            <w:gridSpan w:val="4"/>
            <w:tcBorders>
              <w:top w:val="single" w:sz="4" w:space="0" w:color="auto"/>
              <w:left w:val="single" w:sz="4" w:space="0" w:color="auto"/>
              <w:bottom w:val="single" w:sz="4" w:space="0" w:color="auto"/>
              <w:right w:val="single" w:sz="4" w:space="0" w:color="auto"/>
            </w:tcBorders>
            <w:hideMark/>
          </w:tcPr>
          <w:p w14:paraId="0197EB33" w14:textId="77777777" w:rsidR="00795DD0" w:rsidRDefault="00795DD0">
            <w:pPr>
              <w:rPr>
                <w:rFonts w:ascii="Arial" w:hAnsi="Arial" w:cs="Arial"/>
                <w:szCs w:val="20"/>
              </w:rPr>
            </w:pPr>
          </w:p>
        </w:tc>
        <w:tc>
          <w:tcPr>
            <w:tcW w:w="6090" w:type="dxa"/>
            <w:vMerge/>
            <w:tcBorders>
              <w:top w:val="single" w:sz="4" w:space="0" w:color="auto"/>
              <w:left w:val="single" w:sz="4" w:space="0" w:color="auto"/>
              <w:bottom w:val="single" w:sz="4" w:space="0" w:color="auto"/>
              <w:right w:val="single" w:sz="4" w:space="0" w:color="auto"/>
            </w:tcBorders>
            <w:vAlign w:val="center"/>
            <w:hideMark/>
          </w:tcPr>
          <w:p w14:paraId="3C26A89E" w14:textId="77777777" w:rsidR="00795DD0" w:rsidRDefault="00795DD0">
            <w:pPr>
              <w:spacing w:line="240" w:lineRule="auto"/>
              <w:rPr>
                <w:rFonts w:ascii="Arial" w:hAnsi="Arial" w:cs="Arial"/>
                <w:szCs w:val="20"/>
              </w:rPr>
            </w:pPr>
          </w:p>
        </w:tc>
      </w:tr>
      <w:tr w:rsidR="00795DD0" w14:paraId="4B32BDCA"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F459A1D" w14:textId="77777777" w:rsidR="00795DD0" w:rsidRDefault="00795DD0">
            <w:pPr>
              <w:spacing w:line="240" w:lineRule="auto"/>
              <w:rPr>
                <w:rFonts w:ascii="Arial" w:hAnsi="Arial" w:cs="Arial"/>
                <w:szCs w:val="20"/>
              </w:rPr>
            </w:pPr>
            <w:r>
              <w:rPr>
                <w:rFonts w:ascii="Arial" w:hAnsi="Arial" w:cs="Arial"/>
                <w:szCs w:val="20"/>
              </w:rPr>
              <w:t>5. Grid Ref</w:t>
            </w:r>
          </w:p>
        </w:tc>
        <w:tc>
          <w:tcPr>
            <w:tcW w:w="2254" w:type="dxa"/>
            <w:gridSpan w:val="4"/>
            <w:tcBorders>
              <w:top w:val="single" w:sz="4" w:space="0" w:color="auto"/>
              <w:left w:val="single" w:sz="4" w:space="0" w:color="auto"/>
              <w:bottom w:val="single" w:sz="4" w:space="0" w:color="auto"/>
              <w:right w:val="single" w:sz="4" w:space="0" w:color="auto"/>
            </w:tcBorders>
            <w:hideMark/>
          </w:tcPr>
          <w:p w14:paraId="2C363BE7" w14:textId="77777777" w:rsidR="00795DD0" w:rsidRDefault="00795DD0">
            <w:pPr>
              <w:rPr>
                <w:rFonts w:ascii="Arial" w:hAnsi="Arial" w:cs="Arial"/>
                <w:szCs w:val="20"/>
              </w:rPr>
            </w:pPr>
          </w:p>
        </w:tc>
        <w:tc>
          <w:tcPr>
            <w:tcW w:w="6090" w:type="dxa"/>
            <w:vMerge/>
            <w:tcBorders>
              <w:top w:val="single" w:sz="4" w:space="0" w:color="auto"/>
              <w:left w:val="single" w:sz="4" w:space="0" w:color="auto"/>
              <w:bottom w:val="single" w:sz="4" w:space="0" w:color="auto"/>
              <w:right w:val="single" w:sz="4" w:space="0" w:color="auto"/>
            </w:tcBorders>
            <w:vAlign w:val="center"/>
            <w:hideMark/>
          </w:tcPr>
          <w:p w14:paraId="37A4E004" w14:textId="77777777" w:rsidR="00795DD0" w:rsidRDefault="00795DD0">
            <w:pPr>
              <w:spacing w:line="240" w:lineRule="auto"/>
              <w:rPr>
                <w:rFonts w:ascii="Arial" w:hAnsi="Arial" w:cs="Arial"/>
                <w:szCs w:val="20"/>
              </w:rPr>
            </w:pPr>
          </w:p>
        </w:tc>
      </w:tr>
      <w:tr w:rsidR="00795DD0" w14:paraId="200B4D26"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4A7BB08" w14:textId="77777777" w:rsidR="00795DD0" w:rsidRDefault="00795DD0">
            <w:pPr>
              <w:spacing w:line="240" w:lineRule="auto"/>
              <w:rPr>
                <w:rFonts w:ascii="Arial" w:hAnsi="Arial" w:cs="Arial"/>
                <w:szCs w:val="20"/>
              </w:rPr>
            </w:pPr>
            <w:r>
              <w:rPr>
                <w:rFonts w:ascii="Arial" w:hAnsi="Arial" w:cs="Arial"/>
                <w:szCs w:val="20"/>
              </w:rPr>
              <w:t>6a. Conservation Area</w:t>
            </w:r>
          </w:p>
        </w:tc>
        <w:tc>
          <w:tcPr>
            <w:tcW w:w="563" w:type="dxa"/>
            <w:tcBorders>
              <w:top w:val="single" w:sz="4" w:space="0" w:color="auto"/>
              <w:left w:val="single" w:sz="4" w:space="0" w:color="auto"/>
              <w:bottom w:val="single" w:sz="4" w:space="0" w:color="auto"/>
              <w:right w:val="single" w:sz="4" w:space="0" w:color="auto"/>
            </w:tcBorders>
            <w:hideMark/>
          </w:tcPr>
          <w:p w14:paraId="61BF1B23" w14:textId="77777777" w:rsidR="00795DD0" w:rsidRDefault="00795DD0">
            <w:pPr>
              <w:spacing w:line="240" w:lineRule="auto"/>
              <w:rPr>
                <w:rFonts w:ascii="Arial" w:hAnsi="Arial" w:cs="Arial"/>
                <w:szCs w:val="20"/>
              </w:rPr>
            </w:pPr>
            <w:r>
              <w:rPr>
                <w:rFonts w:ascii="Arial" w:hAnsi="Arial" w:cs="Arial"/>
                <w:szCs w:val="20"/>
              </w:rPr>
              <w:t>Yes</w:t>
            </w:r>
          </w:p>
        </w:tc>
        <w:tc>
          <w:tcPr>
            <w:tcW w:w="564" w:type="dxa"/>
            <w:tcBorders>
              <w:top w:val="single" w:sz="4" w:space="0" w:color="auto"/>
              <w:left w:val="single" w:sz="4" w:space="0" w:color="auto"/>
              <w:bottom w:val="single" w:sz="4" w:space="0" w:color="auto"/>
              <w:right w:val="single" w:sz="4" w:space="0" w:color="auto"/>
            </w:tcBorders>
          </w:tcPr>
          <w:p w14:paraId="7B810A04" w14:textId="77777777" w:rsidR="00795DD0" w:rsidRDefault="00795DD0">
            <w:pPr>
              <w:spacing w:line="240" w:lineRule="auto"/>
              <w:jc w:val="center"/>
              <w:rPr>
                <w:rFonts w:ascii="Arial" w:hAnsi="Arial" w:cs="Arial"/>
                <w:szCs w:val="20"/>
              </w:rPr>
            </w:pPr>
          </w:p>
        </w:tc>
        <w:tc>
          <w:tcPr>
            <w:tcW w:w="563" w:type="dxa"/>
            <w:tcBorders>
              <w:top w:val="single" w:sz="4" w:space="0" w:color="auto"/>
              <w:left w:val="single" w:sz="4" w:space="0" w:color="auto"/>
              <w:bottom w:val="single" w:sz="4" w:space="0" w:color="auto"/>
              <w:right w:val="single" w:sz="4" w:space="0" w:color="auto"/>
            </w:tcBorders>
            <w:hideMark/>
          </w:tcPr>
          <w:p w14:paraId="206A48C5" w14:textId="77777777" w:rsidR="00795DD0" w:rsidRDefault="00795DD0">
            <w:pPr>
              <w:spacing w:line="240" w:lineRule="auto"/>
              <w:rPr>
                <w:rFonts w:ascii="Arial" w:hAnsi="Arial" w:cs="Arial"/>
                <w:szCs w:val="20"/>
              </w:rPr>
            </w:pPr>
            <w:r>
              <w:rPr>
                <w:rFonts w:ascii="Arial" w:hAnsi="Arial" w:cs="Arial"/>
                <w:szCs w:val="20"/>
              </w:rPr>
              <w:t>No</w:t>
            </w:r>
          </w:p>
        </w:tc>
        <w:tc>
          <w:tcPr>
            <w:tcW w:w="564" w:type="dxa"/>
            <w:tcBorders>
              <w:top w:val="single" w:sz="4" w:space="0" w:color="auto"/>
              <w:left w:val="single" w:sz="4" w:space="0" w:color="auto"/>
              <w:bottom w:val="single" w:sz="4" w:space="0" w:color="auto"/>
              <w:right w:val="single" w:sz="4" w:space="0" w:color="auto"/>
            </w:tcBorders>
            <w:hideMark/>
          </w:tcPr>
          <w:p w14:paraId="28767739" w14:textId="77777777" w:rsidR="00795DD0" w:rsidRDefault="00795DD0">
            <w:pPr>
              <w:rPr>
                <w:rFonts w:ascii="Arial" w:hAnsi="Arial" w:cs="Arial"/>
                <w:szCs w:val="20"/>
              </w:rPr>
            </w:pPr>
          </w:p>
        </w:tc>
        <w:tc>
          <w:tcPr>
            <w:tcW w:w="6090" w:type="dxa"/>
            <w:vMerge/>
            <w:tcBorders>
              <w:top w:val="single" w:sz="4" w:space="0" w:color="auto"/>
              <w:left w:val="single" w:sz="4" w:space="0" w:color="auto"/>
              <w:bottom w:val="single" w:sz="4" w:space="0" w:color="auto"/>
              <w:right w:val="single" w:sz="4" w:space="0" w:color="auto"/>
            </w:tcBorders>
            <w:vAlign w:val="center"/>
            <w:hideMark/>
          </w:tcPr>
          <w:p w14:paraId="63C88E63" w14:textId="77777777" w:rsidR="00795DD0" w:rsidRDefault="00795DD0">
            <w:pPr>
              <w:spacing w:line="240" w:lineRule="auto"/>
              <w:rPr>
                <w:rFonts w:ascii="Arial" w:hAnsi="Arial" w:cs="Arial"/>
                <w:szCs w:val="20"/>
              </w:rPr>
            </w:pPr>
          </w:p>
        </w:tc>
      </w:tr>
      <w:tr w:rsidR="00795DD0" w14:paraId="4CF37FE9" w14:textId="77777777" w:rsidTr="00D57D9E">
        <w:tc>
          <w:tcPr>
            <w:tcW w:w="2254"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6C9B74D5" w14:textId="77777777" w:rsidR="00795DD0" w:rsidRDefault="00795DD0">
            <w:pPr>
              <w:spacing w:line="240" w:lineRule="auto"/>
              <w:rPr>
                <w:rFonts w:ascii="Arial" w:hAnsi="Arial" w:cs="Arial"/>
                <w:szCs w:val="20"/>
              </w:rPr>
            </w:pPr>
            <w:r>
              <w:rPr>
                <w:rFonts w:ascii="Arial" w:hAnsi="Arial" w:cs="Arial"/>
                <w:szCs w:val="20"/>
              </w:rPr>
              <w:t>6b. If yes, which CA</w:t>
            </w:r>
          </w:p>
        </w:tc>
        <w:tc>
          <w:tcPr>
            <w:tcW w:w="2254" w:type="dxa"/>
            <w:gridSpan w:val="4"/>
            <w:tcBorders>
              <w:top w:val="single" w:sz="4" w:space="0" w:color="auto"/>
              <w:left w:val="single" w:sz="4" w:space="0" w:color="auto"/>
              <w:bottom w:val="single" w:sz="4" w:space="0" w:color="auto"/>
              <w:right w:val="single" w:sz="4" w:space="0" w:color="auto"/>
            </w:tcBorders>
          </w:tcPr>
          <w:p w14:paraId="22DDFAE7" w14:textId="77777777" w:rsidR="00795DD0" w:rsidRDefault="00795DD0">
            <w:pPr>
              <w:spacing w:line="240" w:lineRule="auto"/>
              <w:rPr>
                <w:rFonts w:ascii="Arial" w:hAnsi="Arial" w:cs="Arial"/>
                <w:szCs w:val="20"/>
              </w:rPr>
            </w:pPr>
          </w:p>
        </w:tc>
        <w:tc>
          <w:tcPr>
            <w:tcW w:w="6090" w:type="dxa"/>
            <w:vMerge/>
            <w:tcBorders>
              <w:top w:val="single" w:sz="4" w:space="0" w:color="auto"/>
              <w:left w:val="single" w:sz="4" w:space="0" w:color="auto"/>
              <w:bottom w:val="single" w:sz="4" w:space="0" w:color="auto"/>
              <w:right w:val="single" w:sz="4" w:space="0" w:color="auto"/>
            </w:tcBorders>
            <w:vAlign w:val="center"/>
            <w:hideMark/>
          </w:tcPr>
          <w:p w14:paraId="38EF3C92" w14:textId="77777777" w:rsidR="00795DD0" w:rsidRDefault="00795DD0">
            <w:pPr>
              <w:spacing w:line="240" w:lineRule="auto"/>
              <w:rPr>
                <w:rFonts w:ascii="Arial" w:hAnsi="Arial" w:cs="Arial"/>
                <w:szCs w:val="20"/>
              </w:rPr>
            </w:pPr>
          </w:p>
        </w:tc>
      </w:tr>
      <w:tr w:rsidR="00795DD0" w14:paraId="02E818B5" w14:textId="77777777" w:rsidTr="00D57D9E">
        <w:tc>
          <w:tcPr>
            <w:tcW w:w="10598" w:type="dxa"/>
            <w:gridSpan w:val="6"/>
            <w:tcBorders>
              <w:top w:val="single" w:sz="4" w:space="0" w:color="auto"/>
              <w:left w:val="single" w:sz="4" w:space="0" w:color="auto"/>
              <w:bottom w:val="single" w:sz="4" w:space="0" w:color="auto"/>
              <w:right w:val="single" w:sz="4" w:space="0" w:color="auto"/>
            </w:tcBorders>
            <w:shd w:val="clear" w:color="auto" w:fill="D0D0CE" w:themeFill="background2"/>
            <w:hideMark/>
          </w:tcPr>
          <w:p w14:paraId="347EE370" w14:textId="351681C3" w:rsidR="00795DD0" w:rsidRDefault="00795DD0">
            <w:pPr>
              <w:spacing w:line="240" w:lineRule="auto"/>
              <w:rPr>
                <w:rFonts w:ascii="Arial" w:hAnsi="Arial" w:cs="Arial"/>
                <w:szCs w:val="20"/>
              </w:rPr>
            </w:pPr>
            <w:r>
              <w:rPr>
                <w:rFonts w:ascii="Arial" w:hAnsi="Arial" w:cs="Arial"/>
                <w:szCs w:val="20"/>
              </w:rPr>
              <w:t>7. Description</w:t>
            </w:r>
            <w:r w:rsidR="006714C2">
              <w:rPr>
                <w:rFonts w:ascii="Arial" w:hAnsi="Arial" w:cs="Arial"/>
                <w:szCs w:val="20"/>
              </w:rPr>
              <w:t xml:space="preserve"> (Including Asset Type)</w:t>
            </w:r>
          </w:p>
        </w:tc>
      </w:tr>
      <w:tr w:rsidR="00795DD0" w14:paraId="0B0102DB" w14:textId="77777777" w:rsidTr="00D57D9E">
        <w:tc>
          <w:tcPr>
            <w:tcW w:w="10598" w:type="dxa"/>
            <w:gridSpan w:val="6"/>
            <w:tcBorders>
              <w:top w:val="single" w:sz="4" w:space="0" w:color="auto"/>
              <w:left w:val="single" w:sz="4" w:space="0" w:color="auto"/>
              <w:bottom w:val="single" w:sz="4" w:space="0" w:color="auto"/>
              <w:right w:val="single" w:sz="4" w:space="0" w:color="auto"/>
            </w:tcBorders>
          </w:tcPr>
          <w:p w14:paraId="1D088324" w14:textId="77777777" w:rsidR="00795DD0" w:rsidRDefault="00795DD0">
            <w:pPr>
              <w:spacing w:line="240" w:lineRule="auto"/>
              <w:rPr>
                <w:rFonts w:ascii="Arial" w:hAnsi="Arial" w:cs="Arial"/>
                <w:szCs w:val="20"/>
              </w:rPr>
            </w:pPr>
          </w:p>
          <w:p w14:paraId="6A9BB613" w14:textId="77777777" w:rsidR="00795DD0" w:rsidRDefault="00795DD0">
            <w:pPr>
              <w:autoSpaceDE w:val="0"/>
              <w:autoSpaceDN w:val="0"/>
              <w:adjustRightInd w:val="0"/>
              <w:spacing w:line="240" w:lineRule="auto"/>
              <w:rPr>
                <w:rFonts w:ascii="Arial" w:hAnsi="Arial" w:cs="Arial"/>
                <w:szCs w:val="20"/>
              </w:rPr>
            </w:pPr>
          </w:p>
          <w:p w14:paraId="72A4D802" w14:textId="77777777" w:rsidR="00795DD0" w:rsidRDefault="00795DD0">
            <w:pPr>
              <w:autoSpaceDE w:val="0"/>
              <w:autoSpaceDN w:val="0"/>
              <w:adjustRightInd w:val="0"/>
              <w:spacing w:line="240" w:lineRule="auto"/>
              <w:rPr>
                <w:rFonts w:ascii="Arial" w:hAnsi="Arial" w:cs="Arial"/>
                <w:szCs w:val="20"/>
              </w:rPr>
            </w:pPr>
          </w:p>
          <w:p w14:paraId="38FFAE27" w14:textId="77777777" w:rsidR="00795DD0" w:rsidRDefault="00795DD0">
            <w:pPr>
              <w:autoSpaceDE w:val="0"/>
              <w:autoSpaceDN w:val="0"/>
              <w:adjustRightInd w:val="0"/>
              <w:spacing w:line="240" w:lineRule="auto"/>
              <w:rPr>
                <w:rFonts w:ascii="Arial" w:hAnsi="Arial" w:cs="Arial"/>
                <w:szCs w:val="20"/>
              </w:rPr>
            </w:pPr>
          </w:p>
          <w:p w14:paraId="43C8D786" w14:textId="77777777" w:rsidR="00795DD0" w:rsidRDefault="00795DD0">
            <w:pPr>
              <w:autoSpaceDE w:val="0"/>
              <w:autoSpaceDN w:val="0"/>
              <w:adjustRightInd w:val="0"/>
              <w:spacing w:line="240" w:lineRule="auto"/>
              <w:rPr>
                <w:rFonts w:ascii="Arial" w:hAnsi="Arial" w:cs="Arial"/>
                <w:szCs w:val="20"/>
              </w:rPr>
            </w:pPr>
          </w:p>
        </w:tc>
      </w:tr>
    </w:tbl>
    <w:p w14:paraId="40D73080" w14:textId="77777777" w:rsidR="00795DD0" w:rsidRDefault="00795DD0" w:rsidP="00795DD0">
      <w:pPr>
        <w:rPr>
          <w:rFonts w:ascii="Arial" w:hAnsi="Arial" w:cs="Arial"/>
          <w:b/>
          <w:szCs w:val="20"/>
        </w:rPr>
      </w:pPr>
    </w:p>
    <w:p w14:paraId="1A6C6709" w14:textId="4AD5C457" w:rsidR="00795DD0" w:rsidRDefault="00795DD0" w:rsidP="00795DD0">
      <w:pPr>
        <w:rPr>
          <w:rFonts w:ascii="Arial" w:hAnsi="Arial" w:cs="Arial"/>
          <w:b/>
          <w:szCs w:val="20"/>
        </w:rPr>
      </w:pPr>
      <w:r>
        <w:rPr>
          <w:rFonts w:ascii="Arial" w:hAnsi="Arial" w:cs="Arial"/>
          <w:b/>
          <w:szCs w:val="20"/>
        </w:rPr>
        <w:t>Section B – Assessment</w:t>
      </w:r>
    </w:p>
    <w:p w14:paraId="05DA1B92" w14:textId="77777777" w:rsidR="00F17F1E" w:rsidRDefault="00F17F1E" w:rsidP="00795DD0">
      <w:pPr>
        <w:rPr>
          <w:rFonts w:ascii="Arial" w:hAnsi="Arial" w:cs="Arial"/>
          <w:b/>
          <w:szCs w:val="20"/>
        </w:rPr>
      </w:pPr>
    </w:p>
    <w:tbl>
      <w:tblPr>
        <w:tblStyle w:val="TableGrid"/>
        <w:tblW w:w="0" w:type="auto"/>
        <w:tblLook w:val="04A0" w:firstRow="1" w:lastRow="0" w:firstColumn="1" w:lastColumn="0" w:noHBand="0" w:noVBand="1"/>
      </w:tblPr>
      <w:tblGrid>
        <w:gridCol w:w="1127"/>
        <w:gridCol w:w="1119"/>
        <w:gridCol w:w="1124"/>
        <w:gridCol w:w="1118"/>
        <w:gridCol w:w="1123"/>
        <w:gridCol w:w="1118"/>
        <w:gridCol w:w="1122"/>
        <w:gridCol w:w="2685"/>
      </w:tblGrid>
      <w:tr w:rsidR="00795DD0" w14:paraId="2436B771"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4BB97127" w14:textId="77777777" w:rsidR="00795DD0" w:rsidRDefault="00795DD0">
            <w:pPr>
              <w:spacing w:line="240" w:lineRule="auto"/>
              <w:rPr>
                <w:rFonts w:ascii="Arial" w:hAnsi="Arial" w:cs="Arial"/>
                <w:szCs w:val="20"/>
              </w:rPr>
            </w:pPr>
            <w:r>
              <w:rPr>
                <w:rFonts w:ascii="Arial" w:hAnsi="Arial" w:cs="Arial"/>
                <w:szCs w:val="20"/>
              </w:rPr>
              <w:t>8. Age (X)</w:t>
            </w:r>
          </w:p>
        </w:tc>
      </w:tr>
      <w:tr w:rsidR="00795DD0" w14:paraId="2123FC95" w14:textId="77777777" w:rsidTr="00D57D9E">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62282E75" w14:textId="77777777" w:rsidR="00795DD0" w:rsidRDefault="00795DD0">
            <w:pPr>
              <w:spacing w:line="240" w:lineRule="auto"/>
              <w:rPr>
                <w:rFonts w:ascii="Arial" w:hAnsi="Arial" w:cs="Arial"/>
                <w:szCs w:val="20"/>
              </w:rPr>
            </w:pPr>
            <w:r>
              <w:rPr>
                <w:rFonts w:ascii="Arial" w:hAnsi="Arial" w:cs="Arial"/>
                <w:szCs w:val="20"/>
              </w:rPr>
              <w:t>Pre-1840</w:t>
            </w:r>
          </w:p>
        </w:tc>
        <w:tc>
          <w:tcPr>
            <w:tcW w:w="1127" w:type="dxa"/>
            <w:tcBorders>
              <w:top w:val="single" w:sz="4" w:space="0" w:color="auto"/>
              <w:left w:val="single" w:sz="4" w:space="0" w:color="auto"/>
              <w:bottom w:val="single" w:sz="4" w:space="0" w:color="auto"/>
              <w:right w:val="single" w:sz="4" w:space="0" w:color="auto"/>
            </w:tcBorders>
          </w:tcPr>
          <w:p w14:paraId="3A8B387D" w14:textId="77777777" w:rsidR="00795DD0" w:rsidRDefault="00795DD0">
            <w:pPr>
              <w:spacing w:line="240" w:lineRule="auto"/>
              <w:jc w:val="cente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0A02E22A" w14:textId="77777777" w:rsidR="00795DD0" w:rsidRDefault="00795DD0">
            <w:pPr>
              <w:spacing w:line="240" w:lineRule="auto"/>
              <w:rPr>
                <w:rFonts w:ascii="Arial" w:hAnsi="Arial" w:cs="Arial"/>
                <w:szCs w:val="20"/>
              </w:rPr>
            </w:pPr>
            <w:r>
              <w:rPr>
                <w:rFonts w:ascii="Arial" w:hAnsi="Arial" w:cs="Arial"/>
                <w:szCs w:val="20"/>
              </w:rPr>
              <w:t>1840-1913</w:t>
            </w:r>
          </w:p>
        </w:tc>
        <w:tc>
          <w:tcPr>
            <w:tcW w:w="1127" w:type="dxa"/>
            <w:tcBorders>
              <w:top w:val="single" w:sz="4" w:space="0" w:color="auto"/>
              <w:left w:val="single" w:sz="4" w:space="0" w:color="auto"/>
              <w:bottom w:val="single" w:sz="4" w:space="0" w:color="auto"/>
              <w:right w:val="single" w:sz="4" w:space="0" w:color="auto"/>
            </w:tcBorders>
          </w:tcPr>
          <w:p w14:paraId="2BAB1510" w14:textId="77777777" w:rsidR="00795DD0" w:rsidRDefault="00795DD0">
            <w:pPr>
              <w:spacing w:line="240" w:lineRule="auto"/>
              <w:jc w:val="cente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5D53DC4E" w14:textId="77777777" w:rsidR="00795DD0" w:rsidRDefault="00795DD0">
            <w:pPr>
              <w:spacing w:line="240" w:lineRule="auto"/>
              <w:rPr>
                <w:rFonts w:ascii="Arial" w:hAnsi="Arial" w:cs="Arial"/>
                <w:szCs w:val="20"/>
              </w:rPr>
            </w:pPr>
            <w:r>
              <w:rPr>
                <w:rFonts w:ascii="Arial" w:hAnsi="Arial" w:cs="Arial"/>
                <w:szCs w:val="20"/>
              </w:rPr>
              <w:t>1914-1947</w:t>
            </w:r>
          </w:p>
        </w:tc>
        <w:tc>
          <w:tcPr>
            <w:tcW w:w="1127" w:type="dxa"/>
            <w:tcBorders>
              <w:top w:val="single" w:sz="4" w:space="0" w:color="auto"/>
              <w:left w:val="single" w:sz="4" w:space="0" w:color="auto"/>
              <w:bottom w:val="single" w:sz="4" w:space="0" w:color="auto"/>
              <w:right w:val="single" w:sz="4" w:space="0" w:color="auto"/>
            </w:tcBorders>
          </w:tcPr>
          <w:p w14:paraId="75377FD6" w14:textId="77777777" w:rsidR="00795DD0" w:rsidRDefault="00795DD0">
            <w:pPr>
              <w:spacing w:line="240" w:lineRule="auto"/>
              <w:jc w:val="cente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6D303D56" w14:textId="77777777" w:rsidR="00795DD0" w:rsidRDefault="00795DD0">
            <w:pPr>
              <w:spacing w:line="240" w:lineRule="auto"/>
              <w:rPr>
                <w:rFonts w:ascii="Arial" w:hAnsi="Arial" w:cs="Arial"/>
                <w:szCs w:val="20"/>
              </w:rPr>
            </w:pPr>
            <w:r>
              <w:rPr>
                <w:rFonts w:ascii="Arial" w:hAnsi="Arial" w:cs="Arial"/>
                <w:szCs w:val="20"/>
              </w:rPr>
              <w:t>Post 1947</w:t>
            </w:r>
          </w:p>
        </w:tc>
        <w:tc>
          <w:tcPr>
            <w:tcW w:w="2709" w:type="dxa"/>
            <w:tcBorders>
              <w:top w:val="single" w:sz="4" w:space="0" w:color="auto"/>
              <w:left w:val="single" w:sz="4" w:space="0" w:color="auto"/>
              <w:bottom w:val="single" w:sz="4" w:space="0" w:color="auto"/>
              <w:right w:val="single" w:sz="4" w:space="0" w:color="auto"/>
            </w:tcBorders>
            <w:hideMark/>
          </w:tcPr>
          <w:p w14:paraId="6EADEB2C" w14:textId="77777777" w:rsidR="00795DD0" w:rsidRDefault="00795DD0">
            <w:pPr>
              <w:rPr>
                <w:rFonts w:ascii="Arial" w:hAnsi="Arial" w:cs="Arial"/>
                <w:szCs w:val="20"/>
              </w:rPr>
            </w:pPr>
          </w:p>
        </w:tc>
      </w:tr>
      <w:tr w:rsidR="00795DD0" w14:paraId="6D4B882D" w14:textId="77777777" w:rsidTr="00D57D9E">
        <w:tc>
          <w:tcPr>
            <w:tcW w:w="7889" w:type="dxa"/>
            <w:gridSpan w:val="7"/>
            <w:tcBorders>
              <w:top w:val="single" w:sz="4" w:space="0" w:color="auto"/>
              <w:left w:val="single" w:sz="4" w:space="0" w:color="auto"/>
              <w:bottom w:val="single" w:sz="4" w:space="0" w:color="auto"/>
              <w:right w:val="single" w:sz="4" w:space="0" w:color="auto"/>
            </w:tcBorders>
            <w:hideMark/>
          </w:tcPr>
          <w:p w14:paraId="7C9DB4DF" w14:textId="77777777" w:rsidR="00795DD0" w:rsidRDefault="00795DD0">
            <w:pPr>
              <w:spacing w:line="240" w:lineRule="auto"/>
              <w:jc w:val="right"/>
              <w:rPr>
                <w:rFonts w:ascii="Arial" w:hAnsi="Arial" w:cs="Arial"/>
                <w:szCs w:val="20"/>
              </w:rPr>
            </w:pPr>
            <w:r>
              <w:rPr>
                <w:rFonts w:ascii="Arial" w:hAnsi="Arial" w:cs="Arial"/>
                <w:szCs w:val="20"/>
              </w:rPr>
              <w:t>Exact date (if known):</w:t>
            </w:r>
          </w:p>
        </w:tc>
        <w:tc>
          <w:tcPr>
            <w:tcW w:w="2709" w:type="dxa"/>
            <w:tcBorders>
              <w:top w:val="single" w:sz="4" w:space="0" w:color="auto"/>
              <w:left w:val="single" w:sz="4" w:space="0" w:color="auto"/>
              <w:bottom w:val="single" w:sz="4" w:space="0" w:color="auto"/>
              <w:right w:val="single" w:sz="4" w:space="0" w:color="auto"/>
            </w:tcBorders>
            <w:hideMark/>
          </w:tcPr>
          <w:p w14:paraId="4930B98F" w14:textId="77777777" w:rsidR="00795DD0" w:rsidRDefault="00795DD0">
            <w:pPr>
              <w:rPr>
                <w:rFonts w:ascii="Arial" w:hAnsi="Arial" w:cs="Arial"/>
                <w:szCs w:val="20"/>
              </w:rPr>
            </w:pPr>
          </w:p>
        </w:tc>
      </w:tr>
      <w:tr w:rsidR="00795DD0" w14:paraId="67BF8901"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05B40F67" w14:textId="5482B812" w:rsidR="00795DD0" w:rsidRDefault="00795DD0">
            <w:pPr>
              <w:spacing w:line="240" w:lineRule="auto"/>
              <w:rPr>
                <w:rFonts w:ascii="Arial" w:hAnsi="Arial" w:cs="Arial"/>
                <w:szCs w:val="20"/>
              </w:rPr>
            </w:pPr>
            <w:r>
              <w:rPr>
                <w:rFonts w:ascii="Arial" w:hAnsi="Arial" w:cs="Arial"/>
                <w:szCs w:val="20"/>
              </w:rPr>
              <w:t>9. Authenticity (X)</w:t>
            </w:r>
          </w:p>
        </w:tc>
      </w:tr>
      <w:tr w:rsidR="00795DD0" w14:paraId="1A7F2E33" w14:textId="77777777" w:rsidTr="00D57D9E">
        <w:tc>
          <w:tcPr>
            <w:tcW w:w="1127" w:type="dxa"/>
            <w:tcBorders>
              <w:top w:val="single" w:sz="4" w:space="0" w:color="auto"/>
              <w:left w:val="single" w:sz="4" w:space="0" w:color="auto"/>
              <w:bottom w:val="single" w:sz="4" w:space="0" w:color="auto"/>
              <w:right w:val="single" w:sz="4" w:space="0" w:color="auto"/>
            </w:tcBorders>
            <w:hideMark/>
          </w:tcPr>
          <w:p w14:paraId="39F7DA1C" w14:textId="77777777" w:rsidR="00795DD0" w:rsidRDefault="00795DD0">
            <w:pPr>
              <w:rPr>
                <w:rFonts w:ascii="Arial" w:hAnsi="Arial" w:cs="Arial"/>
                <w:szCs w:val="20"/>
              </w:rPr>
            </w:pPr>
          </w:p>
        </w:tc>
        <w:tc>
          <w:tcPr>
            <w:tcW w:w="9471" w:type="dxa"/>
            <w:gridSpan w:val="7"/>
            <w:tcBorders>
              <w:top w:val="single" w:sz="4" w:space="0" w:color="auto"/>
              <w:left w:val="single" w:sz="4" w:space="0" w:color="auto"/>
              <w:bottom w:val="single" w:sz="4" w:space="0" w:color="auto"/>
              <w:right w:val="single" w:sz="4" w:space="0" w:color="auto"/>
            </w:tcBorders>
            <w:shd w:val="clear" w:color="auto" w:fill="D0D0CE" w:themeFill="background2"/>
            <w:hideMark/>
          </w:tcPr>
          <w:p w14:paraId="7477297A" w14:textId="77777777" w:rsidR="00795DD0" w:rsidRDefault="00795DD0">
            <w:pPr>
              <w:spacing w:line="240" w:lineRule="auto"/>
              <w:ind w:right="-761"/>
              <w:rPr>
                <w:rFonts w:ascii="Arial" w:hAnsi="Arial" w:cs="Arial"/>
                <w:sz w:val="22"/>
              </w:rPr>
            </w:pPr>
            <w:r>
              <w:rPr>
                <w:rFonts w:ascii="Arial" w:hAnsi="Arial" w:cs="Arial"/>
              </w:rPr>
              <w:t xml:space="preserve">A single significant phase and which is largely intact </w:t>
            </w:r>
          </w:p>
        </w:tc>
      </w:tr>
      <w:tr w:rsidR="00795DD0" w14:paraId="215AA10B" w14:textId="77777777" w:rsidTr="00D57D9E">
        <w:tc>
          <w:tcPr>
            <w:tcW w:w="1127" w:type="dxa"/>
            <w:tcBorders>
              <w:top w:val="single" w:sz="4" w:space="0" w:color="auto"/>
              <w:left w:val="single" w:sz="4" w:space="0" w:color="auto"/>
              <w:bottom w:val="single" w:sz="4" w:space="0" w:color="auto"/>
              <w:right w:val="single" w:sz="4" w:space="0" w:color="auto"/>
            </w:tcBorders>
          </w:tcPr>
          <w:p w14:paraId="1C1C1E31" w14:textId="77777777" w:rsidR="00795DD0" w:rsidRDefault="00795DD0">
            <w:pPr>
              <w:spacing w:line="240" w:lineRule="auto"/>
              <w:jc w:val="center"/>
              <w:rPr>
                <w:rFonts w:ascii="Arial" w:hAnsi="Arial" w:cs="Arial"/>
                <w:szCs w:val="20"/>
              </w:rPr>
            </w:pPr>
          </w:p>
        </w:tc>
        <w:tc>
          <w:tcPr>
            <w:tcW w:w="9471" w:type="dxa"/>
            <w:gridSpan w:val="7"/>
            <w:tcBorders>
              <w:top w:val="single" w:sz="4" w:space="0" w:color="auto"/>
              <w:left w:val="single" w:sz="4" w:space="0" w:color="auto"/>
              <w:bottom w:val="single" w:sz="4" w:space="0" w:color="auto"/>
              <w:right w:val="single" w:sz="4" w:space="0" w:color="auto"/>
            </w:tcBorders>
            <w:shd w:val="clear" w:color="auto" w:fill="D0D0CE" w:themeFill="background2"/>
            <w:hideMark/>
          </w:tcPr>
          <w:p w14:paraId="7DBEF219" w14:textId="77777777" w:rsidR="00795DD0" w:rsidRDefault="00795DD0">
            <w:pPr>
              <w:spacing w:line="240" w:lineRule="auto"/>
              <w:ind w:right="-761"/>
              <w:rPr>
                <w:rFonts w:ascii="Arial" w:hAnsi="Arial" w:cs="Arial"/>
                <w:sz w:val="22"/>
              </w:rPr>
            </w:pPr>
            <w:r>
              <w:rPr>
                <w:rFonts w:ascii="Arial" w:hAnsi="Arial" w:cs="Arial"/>
              </w:rPr>
              <w:t>A single significant phase with some alterations and/or extensions</w:t>
            </w:r>
          </w:p>
        </w:tc>
      </w:tr>
      <w:tr w:rsidR="00795DD0" w14:paraId="47DA859D" w14:textId="77777777" w:rsidTr="00D57D9E">
        <w:tc>
          <w:tcPr>
            <w:tcW w:w="1127" w:type="dxa"/>
            <w:tcBorders>
              <w:top w:val="single" w:sz="4" w:space="0" w:color="auto"/>
              <w:left w:val="single" w:sz="4" w:space="0" w:color="auto"/>
              <w:bottom w:val="single" w:sz="4" w:space="0" w:color="auto"/>
              <w:right w:val="single" w:sz="4" w:space="0" w:color="auto"/>
            </w:tcBorders>
          </w:tcPr>
          <w:p w14:paraId="2CE0F57E" w14:textId="77777777" w:rsidR="00795DD0" w:rsidRDefault="00795DD0">
            <w:pPr>
              <w:spacing w:line="240" w:lineRule="auto"/>
              <w:jc w:val="center"/>
              <w:rPr>
                <w:rFonts w:ascii="Arial" w:hAnsi="Arial" w:cs="Arial"/>
                <w:szCs w:val="20"/>
              </w:rPr>
            </w:pPr>
          </w:p>
        </w:tc>
        <w:tc>
          <w:tcPr>
            <w:tcW w:w="9471" w:type="dxa"/>
            <w:gridSpan w:val="7"/>
            <w:tcBorders>
              <w:top w:val="single" w:sz="4" w:space="0" w:color="auto"/>
              <w:left w:val="single" w:sz="4" w:space="0" w:color="auto"/>
              <w:bottom w:val="single" w:sz="4" w:space="0" w:color="auto"/>
              <w:right w:val="single" w:sz="4" w:space="0" w:color="auto"/>
            </w:tcBorders>
            <w:shd w:val="clear" w:color="auto" w:fill="D0D0CE" w:themeFill="background2"/>
            <w:hideMark/>
          </w:tcPr>
          <w:p w14:paraId="4D36BC16" w14:textId="77777777" w:rsidR="00795DD0" w:rsidRDefault="00795DD0">
            <w:pPr>
              <w:spacing w:line="240" w:lineRule="auto"/>
              <w:ind w:right="-761"/>
              <w:rPr>
                <w:rFonts w:ascii="Arial" w:hAnsi="Arial" w:cs="Arial"/>
                <w:sz w:val="22"/>
              </w:rPr>
            </w:pPr>
            <w:r>
              <w:rPr>
                <w:rFonts w:ascii="Arial" w:hAnsi="Arial" w:cs="Arial"/>
              </w:rPr>
              <w:t>A single significant phase with significant alterations and/or extensions</w:t>
            </w:r>
          </w:p>
        </w:tc>
      </w:tr>
      <w:tr w:rsidR="00795DD0" w14:paraId="1BA1924B" w14:textId="77777777" w:rsidTr="00D57D9E">
        <w:tc>
          <w:tcPr>
            <w:tcW w:w="1127" w:type="dxa"/>
            <w:tcBorders>
              <w:top w:val="single" w:sz="4" w:space="0" w:color="auto"/>
              <w:left w:val="single" w:sz="4" w:space="0" w:color="auto"/>
              <w:bottom w:val="single" w:sz="4" w:space="0" w:color="auto"/>
              <w:right w:val="single" w:sz="4" w:space="0" w:color="auto"/>
            </w:tcBorders>
          </w:tcPr>
          <w:p w14:paraId="2544A7E9" w14:textId="77777777" w:rsidR="00795DD0" w:rsidRDefault="00795DD0">
            <w:pPr>
              <w:spacing w:line="240" w:lineRule="auto"/>
              <w:jc w:val="center"/>
              <w:rPr>
                <w:rFonts w:ascii="Arial" w:hAnsi="Arial" w:cs="Arial"/>
                <w:szCs w:val="20"/>
              </w:rPr>
            </w:pPr>
          </w:p>
        </w:tc>
        <w:tc>
          <w:tcPr>
            <w:tcW w:w="9471" w:type="dxa"/>
            <w:gridSpan w:val="7"/>
            <w:tcBorders>
              <w:top w:val="single" w:sz="4" w:space="0" w:color="auto"/>
              <w:left w:val="single" w:sz="4" w:space="0" w:color="auto"/>
              <w:bottom w:val="single" w:sz="4" w:space="0" w:color="auto"/>
              <w:right w:val="single" w:sz="4" w:space="0" w:color="auto"/>
            </w:tcBorders>
            <w:shd w:val="clear" w:color="auto" w:fill="D0D0CE" w:themeFill="background2"/>
            <w:hideMark/>
          </w:tcPr>
          <w:p w14:paraId="55EA613F" w14:textId="77777777" w:rsidR="00795DD0" w:rsidRDefault="00795DD0">
            <w:pPr>
              <w:spacing w:line="240" w:lineRule="auto"/>
              <w:ind w:right="-761"/>
              <w:rPr>
                <w:rFonts w:ascii="Arial" w:hAnsi="Arial" w:cs="Arial"/>
                <w:sz w:val="22"/>
              </w:rPr>
            </w:pPr>
            <w:r>
              <w:rPr>
                <w:rFonts w:ascii="Arial" w:hAnsi="Arial" w:cs="Arial"/>
              </w:rPr>
              <w:t>The asset is of multiple significant phases</w:t>
            </w:r>
          </w:p>
        </w:tc>
      </w:tr>
      <w:tr w:rsidR="00795DD0" w14:paraId="6B6AC27E"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20760A02" w14:textId="62B33288" w:rsidR="00795DD0" w:rsidRDefault="00795DD0">
            <w:pPr>
              <w:spacing w:line="240" w:lineRule="auto"/>
              <w:rPr>
                <w:rFonts w:ascii="Arial" w:hAnsi="Arial" w:cs="Arial"/>
                <w:szCs w:val="20"/>
              </w:rPr>
            </w:pPr>
            <w:r>
              <w:rPr>
                <w:rFonts w:ascii="Arial" w:hAnsi="Arial" w:cs="Arial"/>
                <w:szCs w:val="20"/>
              </w:rPr>
              <w:t>10. Architectural</w:t>
            </w:r>
            <w:r w:rsidR="00762AD4">
              <w:rPr>
                <w:rFonts w:ascii="Arial" w:hAnsi="Arial" w:cs="Arial"/>
                <w:szCs w:val="20"/>
              </w:rPr>
              <w:t xml:space="preserve"> and Artistic</w:t>
            </w:r>
            <w:r>
              <w:rPr>
                <w:rFonts w:ascii="Arial" w:hAnsi="Arial" w:cs="Arial"/>
                <w:szCs w:val="20"/>
              </w:rPr>
              <w:t xml:space="preserve"> </w:t>
            </w:r>
            <w:r w:rsidR="006714C2">
              <w:rPr>
                <w:rFonts w:ascii="Arial" w:hAnsi="Arial" w:cs="Arial"/>
                <w:szCs w:val="20"/>
              </w:rPr>
              <w:t>Interest</w:t>
            </w:r>
          </w:p>
        </w:tc>
      </w:tr>
      <w:tr w:rsidR="00795DD0" w14:paraId="6C54EDF4" w14:textId="77777777" w:rsidTr="00F17F1E">
        <w:trPr>
          <w:trHeight w:val="549"/>
        </w:trPr>
        <w:tc>
          <w:tcPr>
            <w:tcW w:w="10598" w:type="dxa"/>
            <w:gridSpan w:val="8"/>
            <w:tcBorders>
              <w:top w:val="single" w:sz="4" w:space="0" w:color="auto"/>
              <w:left w:val="single" w:sz="4" w:space="0" w:color="auto"/>
              <w:bottom w:val="single" w:sz="4" w:space="0" w:color="auto"/>
              <w:right w:val="single" w:sz="4" w:space="0" w:color="auto"/>
            </w:tcBorders>
          </w:tcPr>
          <w:p w14:paraId="79B45ED2" w14:textId="77777777" w:rsidR="00795DD0" w:rsidRDefault="00795DD0">
            <w:pPr>
              <w:spacing w:line="240" w:lineRule="auto"/>
              <w:rPr>
                <w:rFonts w:ascii="Arial" w:hAnsi="Arial" w:cs="Arial"/>
                <w:szCs w:val="20"/>
              </w:rPr>
            </w:pPr>
          </w:p>
          <w:p w14:paraId="17A692A8" w14:textId="77777777" w:rsidR="00795DD0" w:rsidRDefault="00795DD0">
            <w:pPr>
              <w:spacing w:line="240" w:lineRule="auto"/>
              <w:rPr>
                <w:rFonts w:ascii="Arial" w:hAnsi="Arial" w:cs="Arial"/>
                <w:szCs w:val="20"/>
              </w:rPr>
            </w:pPr>
          </w:p>
        </w:tc>
      </w:tr>
      <w:tr w:rsidR="00795DD0" w14:paraId="6747ADEA"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113988F4" w14:textId="7AA9EE26" w:rsidR="00795DD0" w:rsidRDefault="00795DD0">
            <w:pPr>
              <w:spacing w:line="240" w:lineRule="auto"/>
              <w:rPr>
                <w:rFonts w:ascii="Arial" w:hAnsi="Arial" w:cs="Arial"/>
                <w:szCs w:val="20"/>
              </w:rPr>
            </w:pPr>
            <w:r>
              <w:rPr>
                <w:rFonts w:ascii="Arial" w:hAnsi="Arial" w:cs="Arial"/>
                <w:szCs w:val="20"/>
              </w:rPr>
              <w:t xml:space="preserve">11. Historic </w:t>
            </w:r>
            <w:r w:rsidR="00762AD4">
              <w:rPr>
                <w:rFonts w:ascii="Arial" w:hAnsi="Arial" w:cs="Arial"/>
                <w:szCs w:val="20"/>
              </w:rPr>
              <w:t>Interest</w:t>
            </w:r>
            <w:r w:rsidR="006714C2">
              <w:rPr>
                <w:rFonts w:ascii="Arial" w:hAnsi="Arial" w:cs="Arial"/>
                <w:szCs w:val="20"/>
              </w:rPr>
              <w:t xml:space="preserve"> </w:t>
            </w:r>
            <w:r w:rsidR="006714C2">
              <w:t>(Including Social and Communal Interest)</w:t>
            </w:r>
          </w:p>
        </w:tc>
      </w:tr>
      <w:tr w:rsidR="00D57D9E" w14:paraId="746BFBCA" w14:textId="77777777" w:rsidTr="00F17F1E">
        <w:trPr>
          <w:trHeight w:val="437"/>
        </w:trPr>
        <w:tc>
          <w:tcPr>
            <w:tcW w:w="105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86060BE" w14:textId="77777777" w:rsidR="00D57D9E" w:rsidRDefault="00D57D9E">
            <w:pPr>
              <w:spacing w:line="240" w:lineRule="auto"/>
              <w:rPr>
                <w:rFonts w:ascii="Arial" w:hAnsi="Arial" w:cs="Arial"/>
                <w:szCs w:val="20"/>
              </w:rPr>
            </w:pPr>
          </w:p>
        </w:tc>
      </w:tr>
      <w:tr w:rsidR="00795DD0" w14:paraId="2041A3E4"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0D2D5C7B" w14:textId="0680EFAB" w:rsidR="00795DD0" w:rsidRDefault="00795DD0">
            <w:pPr>
              <w:spacing w:line="240" w:lineRule="auto"/>
              <w:rPr>
                <w:rFonts w:ascii="Arial" w:hAnsi="Arial" w:cs="Arial"/>
                <w:szCs w:val="20"/>
              </w:rPr>
            </w:pPr>
            <w:r>
              <w:rPr>
                <w:rFonts w:ascii="Arial" w:hAnsi="Arial" w:cs="Arial"/>
                <w:szCs w:val="20"/>
              </w:rPr>
              <w:t>1</w:t>
            </w:r>
            <w:r w:rsidR="00301137">
              <w:rPr>
                <w:rFonts w:ascii="Arial" w:hAnsi="Arial" w:cs="Arial"/>
                <w:szCs w:val="20"/>
              </w:rPr>
              <w:t>2</w:t>
            </w:r>
            <w:r>
              <w:rPr>
                <w:rFonts w:ascii="Arial" w:hAnsi="Arial" w:cs="Arial"/>
                <w:szCs w:val="20"/>
              </w:rPr>
              <w:t>. Group Value</w:t>
            </w:r>
          </w:p>
        </w:tc>
      </w:tr>
      <w:tr w:rsidR="00795DD0" w14:paraId="02C2E535" w14:textId="77777777" w:rsidTr="00D57D9E">
        <w:trPr>
          <w:trHeight w:val="629"/>
        </w:trPr>
        <w:tc>
          <w:tcPr>
            <w:tcW w:w="10598" w:type="dxa"/>
            <w:gridSpan w:val="8"/>
            <w:tcBorders>
              <w:top w:val="single" w:sz="4" w:space="0" w:color="auto"/>
              <w:left w:val="single" w:sz="4" w:space="0" w:color="auto"/>
              <w:bottom w:val="single" w:sz="4" w:space="0" w:color="auto"/>
              <w:right w:val="single" w:sz="4" w:space="0" w:color="auto"/>
            </w:tcBorders>
          </w:tcPr>
          <w:p w14:paraId="11392711" w14:textId="77777777" w:rsidR="00795DD0" w:rsidRDefault="00795DD0">
            <w:pPr>
              <w:spacing w:line="240" w:lineRule="auto"/>
              <w:rPr>
                <w:rFonts w:ascii="Arial" w:hAnsi="Arial" w:cs="Arial"/>
                <w:szCs w:val="20"/>
              </w:rPr>
            </w:pPr>
          </w:p>
          <w:p w14:paraId="589C645B" w14:textId="77777777" w:rsidR="00795DD0" w:rsidRDefault="00795DD0">
            <w:pPr>
              <w:spacing w:line="240" w:lineRule="auto"/>
              <w:rPr>
                <w:rFonts w:ascii="Arial" w:hAnsi="Arial" w:cs="Arial"/>
                <w:szCs w:val="20"/>
              </w:rPr>
            </w:pPr>
          </w:p>
        </w:tc>
      </w:tr>
      <w:tr w:rsidR="00795DD0" w14:paraId="6B2877D4"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09DFD62F" w14:textId="4EE7BAD6" w:rsidR="00795DD0" w:rsidRDefault="00795DD0">
            <w:pPr>
              <w:spacing w:line="240" w:lineRule="auto"/>
              <w:rPr>
                <w:rFonts w:ascii="Arial" w:hAnsi="Arial" w:cs="Arial"/>
                <w:szCs w:val="20"/>
              </w:rPr>
            </w:pPr>
            <w:r>
              <w:rPr>
                <w:rFonts w:ascii="Arial" w:hAnsi="Arial" w:cs="Arial"/>
                <w:szCs w:val="20"/>
              </w:rPr>
              <w:t>1</w:t>
            </w:r>
            <w:r w:rsidR="00301137">
              <w:rPr>
                <w:rFonts w:ascii="Arial" w:hAnsi="Arial" w:cs="Arial"/>
                <w:szCs w:val="20"/>
              </w:rPr>
              <w:t>3</w:t>
            </w:r>
            <w:r>
              <w:rPr>
                <w:rFonts w:ascii="Arial" w:hAnsi="Arial" w:cs="Arial"/>
                <w:szCs w:val="20"/>
              </w:rPr>
              <w:t xml:space="preserve">. Landmark </w:t>
            </w:r>
            <w:r w:rsidR="006714C2">
              <w:rPr>
                <w:rFonts w:ascii="Arial" w:hAnsi="Arial" w:cs="Arial"/>
                <w:szCs w:val="20"/>
              </w:rPr>
              <w:t xml:space="preserve">Status </w:t>
            </w:r>
            <w:r>
              <w:rPr>
                <w:rFonts w:ascii="Arial" w:hAnsi="Arial" w:cs="Arial"/>
                <w:szCs w:val="20"/>
              </w:rPr>
              <w:t>/ Townscape Value</w:t>
            </w:r>
          </w:p>
        </w:tc>
      </w:tr>
      <w:tr w:rsidR="00795DD0" w14:paraId="6AE37DE7" w14:textId="77777777" w:rsidTr="00D57D9E">
        <w:trPr>
          <w:trHeight w:val="603"/>
        </w:trPr>
        <w:tc>
          <w:tcPr>
            <w:tcW w:w="10598" w:type="dxa"/>
            <w:gridSpan w:val="8"/>
            <w:tcBorders>
              <w:top w:val="single" w:sz="4" w:space="0" w:color="auto"/>
              <w:left w:val="single" w:sz="4" w:space="0" w:color="auto"/>
              <w:bottom w:val="single" w:sz="4" w:space="0" w:color="auto"/>
              <w:right w:val="single" w:sz="4" w:space="0" w:color="auto"/>
            </w:tcBorders>
          </w:tcPr>
          <w:p w14:paraId="0A89FE0A" w14:textId="77777777" w:rsidR="00795DD0" w:rsidRDefault="00795DD0">
            <w:pPr>
              <w:spacing w:line="240" w:lineRule="auto"/>
              <w:rPr>
                <w:rFonts w:ascii="Arial" w:hAnsi="Arial" w:cs="Arial"/>
                <w:szCs w:val="20"/>
              </w:rPr>
            </w:pPr>
          </w:p>
        </w:tc>
      </w:tr>
      <w:tr w:rsidR="00795DD0" w14:paraId="2C56C903"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3461F091" w14:textId="7548BB66" w:rsidR="00795DD0" w:rsidRDefault="00795DD0">
            <w:pPr>
              <w:spacing w:line="240" w:lineRule="auto"/>
              <w:rPr>
                <w:rFonts w:ascii="Arial" w:hAnsi="Arial" w:cs="Arial"/>
                <w:szCs w:val="20"/>
              </w:rPr>
            </w:pPr>
            <w:r>
              <w:rPr>
                <w:rFonts w:ascii="Arial" w:hAnsi="Arial" w:cs="Arial"/>
                <w:szCs w:val="20"/>
              </w:rPr>
              <w:t>1</w:t>
            </w:r>
            <w:r w:rsidR="00301137">
              <w:rPr>
                <w:rFonts w:ascii="Arial" w:hAnsi="Arial" w:cs="Arial"/>
                <w:szCs w:val="20"/>
              </w:rPr>
              <w:t>4</w:t>
            </w:r>
            <w:r>
              <w:rPr>
                <w:rFonts w:ascii="Arial" w:hAnsi="Arial" w:cs="Arial"/>
                <w:szCs w:val="20"/>
              </w:rPr>
              <w:t xml:space="preserve">. Archaeological </w:t>
            </w:r>
            <w:r w:rsidR="00762AD4">
              <w:rPr>
                <w:rFonts w:ascii="Arial" w:hAnsi="Arial" w:cs="Arial"/>
                <w:szCs w:val="20"/>
              </w:rPr>
              <w:t>Interest</w:t>
            </w:r>
          </w:p>
        </w:tc>
      </w:tr>
      <w:tr w:rsidR="00795DD0" w14:paraId="6C14FE58" w14:textId="77777777" w:rsidTr="00D57D9E">
        <w:tc>
          <w:tcPr>
            <w:tcW w:w="10598" w:type="dxa"/>
            <w:gridSpan w:val="8"/>
            <w:tcBorders>
              <w:top w:val="single" w:sz="4" w:space="0" w:color="auto"/>
              <w:left w:val="single" w:sz="4" w:space="0" w:color="auto"/>
              <w:bottom w:val="single" w:sz="4" w:space="0" w:color="auto"/>
              <w:right w:val="single" w:sz="4" w:space="0" w:color="auto"/>
            </w:tcBorders>
          </w:tcPr>
          <w:p w14:paraId="186A45DE" w14:textId="77777777" w:rsidR="00795DD0" w:rsidRDefault="00795DD0">
            <w:pPr>
              <w:spacing w:line="240" w:lineRule="auto"/>
              <w:rPr>
                <w:rFonts w:ascii="Arial" w:hAnsi="Arial" w:cs="Arial"/>
                <w:szCs w:val="20"/>
              </w:rPr>
            </w:pPr>
          </w:p>
          <w:p w14:paraId="40071DF4" w14:textId="77777777" w:rsidR="00795DD0" w:rsidRDefault="00795DD0">
            <w:pPr>
              <w:spacing w:line="240" w:lineRule="auto"/>
              <w:rPr>
                <w:rFonts w:ascii="Arial" w:hAnsi="Arial" w:cs="Arial"/>
                <w:szCs w:val="20"/>
              </w:rPr>
            </w:pPr>
          </w:p>
        </w:tc>
      </w:tr>
      <w:tr w:rsidR="00795DD0" w14:paraId="2FB081AC" w14:textId="77777777" w:rsidTr="00D57D9E">
        <w:tc>
          <w:tcPr>
            <w:tcW w:w="10598" w:type="dxa"/>
            <w:gridSpan w:val="8"/>
            <w:tcBorders>
              <w:top w:val="single" w:sz="4" w:space="0" w:color="auto"/>
              <w:left w:val="single" w:sz="4" w:space="0" w:color="auto"/>
              <w:bottom w:val="single" w:sz="4" w:space="0" w:color="auto"/>
              <w:right w:val="single" w:sz="4" w:space="0" w:color="auto"/>
            </w:tcBorders>
            <w:shd w:val="clear" w:color="auto" w:fill="D0D0CE" w:themeFill="background2"/>
            <w:hideMark/>
          </w:tcPr>
          <w:p w14:paraId="7C6E549A" w14:textId="73A515FF" w:rsidR="00795DD0" w:rsidRDefault="00795DD0">
            <w:pPr>
              <w:spacing w:line="240" w:lineRule="auto"/>
              <w:rPr>
                <w:rFonts w:ascii="Arial" w:hAnsi="Arial" w:cs="Arial"/>
                <w:szCs w:val="20"/>
              </w:rPr>
            </w:pPr>
            <w:r>
              <w:rPr>
                <w:rFonts w:ascii="Arial" w:hAnsi="Arial" w:cs="Arial"/>
                <w:szCs w:val="20"/>
              </w:rPr>
              <w:t>1</w:t>
            </w:r>
            <w:r w:rsidR="00301137">
              <w:rPr>
                <w:rFonts w:ascii="Arial" w:hAnsi="Arial" w:cs="Arial"/>
                <w:szCs w:val="20"/>
              </w:rPr>
              <w:t>5</w:t>
            </w:r>
            <w:r>
              <w:rPr>
                <w:rFonts w:ascii="Arial" w:hAnsi="Arial" w:cs="Arial"/>
                <w:szCs w:val="20"/>
              </w:rPr>
              <w:t>. Overall Condition</w:t>
            </w:r>
          </w:p>
        </w:tc>
      </w:tr>
      <w:tr w:rsidR="00795DD0" w14:paraId="2D51DCBB" w14:textId="77777777" w:rsidTr="00D57D9E">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216B625A" w14:textId="77777777" w:rsidR="00795DD0" w:rsidRDefault="00795DD0">
            <w:pPr>
              <w:spacing w:line="240" w:lineRule="auto"/>
              <w:rPr>
                <w:rFonts w:ascii="Arial" w:hAnsi="Arial" w:cs="Arial"/>
                <w:szCs w:val="20"/>
              </w:rPr>
            </w:pPr>
            <w:r>
              <w:rPr>
                <w:rFonts w:ascii="Arial" w:hAnsi="Arial" w:cs="Arial"/>
                <w:szCs w:val="20"/>
              </w:rPr>
              <w:t>Good</w:t>
            </w:r>
          </w:p>
        </w:tc>
        <w:tc>
          <w:tcPr>
            <w:tcW w:w="1127" w:type="dxa"/>
            <w:tcBorders>
              <w:top w:val="single" w:sz="4" w:space="0" w:color="auto"/>
              <w:left w:val="single" w:sz="4" w:space="0" w:color="auto"/>
              <w:bottom w:val="single" w:sz="4" w:space="0" w:color="auto"/>
              <w:right w:val="single" w:sz="4" w:space="0" w:color="auto"/>
            </w:tcBorders>
          </w:tcPr>
          <w:p w14:paraId="2FA8D962" w14:textId="77777777" w:rsidR="00795DD0" w:rsidRDefault="00795DD0">
            <w:pPr>
              <w:spacing w:line="240" w:lineRule="auto"/>
              <w:jc w:val="cente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BA85166" w14:textId="77777777" w:rsidR="00795DD0" w:rsidRDefault="00795DD0">
            <w:pPr>
              <w:spacing w:line="240" w:lineRule="auto"/>
              <w:rPr>
                <w:rFonts w:ascii="Arial" w:hAnsi="Arial" w:cs="Arial"/>
                <w:szCs w:val="20"/>
              </w:rPr>
            </w:pPr>
            <w:r>
              <w:rPr>
                <w:rFonts w:ascii="Arial" w:hAnsi="Arial" w:cs="Arial"/>
                <w:szCs w:val="20"/>
              </w:rPr>
              <w:t>Fair</w:t>
            </w:r>
          </w:p>
        </w:tc>
        <w:tc>
          <w:tcPr>
            <w:tcW w:w="1127" w:type="dxa"/>
            <w:tcBorders>
              <w:top w:val="single" w:sz="4" w:space="0" w:color="auto"/>
              <w:left w:val="single" w:sz="4" w:space="0" w:color="auto"/>
              <w:bottom w:val="single" w:sz="4" w:space="0" w:color="auto"/>
              <w:right w:val="single" w:sz="4" w:space="0" w:color="auto"/>
            </w:tcBorders>
            <w:hideMark/>
          </w:tcPr>
          <w:p w14:paraId="0347BD3B" w14:textId="77777777" w:rsidR="00795DD0" w:rsidRDefault="00795DD0">
            <w:pP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233279E" w14:textId="77777777" w:rsidR="00795DD0" w:rsidRDefault="00795DD0">
            <w:pPr>
              <w:spacing w:line="240" w:lineRule="auto"/>
              <w:rPr>
                <w:rFonts w:ascii="Arial" w:hAnsi="Arial" w:cs="Arial"/>
                <w:szCs w:val="20"/>
              </w:rPr>
            </w:pPr>
            <w:r>
              <w:rPr>
                <w:rFonts w:ascii="Arial" w:hAnsi="Arial" w:cs="Arial"/>
                <w:szCs w:val="20"/>
              </w:rPr>
              <w:t>Poor</w:t>
            </w:r>
          </w:p>
        </w:tc>
        <w:tc>
          <w:tcPr>
            <w:tcW w:w="1127" w:type="dxa"/>
            <w:tcBorders>
              <w:top w:val="single" w:sz="4" w:space="0" w:color="auto"/>
              <w:left w:val="single" w:sz="4" w:space="0" w:color="auto"/>
              <w:bottom w:val="single" w:sz="4" w:space="0" w:color="auto"/>
              <w:right w:val="single" w:sz="4" w:space="0" w:color="auto"/>
            </w:tcBorders>
          </w:tcPr>
          <w:p w14:paraId="2F83D888" w14:textId="77777777" w:rsidR="00795DD0" w:rsidRDefault="00795DD0">
            <w:pPr>
              <w:spacing w:line="240" w:lineRule="auto"/>
              <w:jc w:val="cente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701694D2" w14:textId="77777777" w:rsidR="00795DD0" w:rsidRDefault="00795DD0">
            <w:pPr>
              <w:spacing w:line="240" w:lineRule="auto"/>
              <w:rPr>
                <w:rFonts w:ascii="Arial" w:hAnsi="Arial" w:cs="Arial"/>
                <w:szCs w:val="20"/>
              </w:rPr>
            </w:pPr>
            <w:r>
              <w:rPr>
                <w:rFonts w:ascii="Arial" w:hAnsi="Arial" w:cs="Arial"/>
                <w:szCs w:val="20"/>
              </w:rPr>
              <w:t>Very Poor</w:t>
            </w:r>
          </w:p>
        </w:tc>
        <w:tc>
          <w:tcPr>
            <w:tcW w:w="2709" w:type="dxa"/>
            <w:tcBorders>
              <w:top w:val="single" w:sz="4" w:space="0" w:color="auto"/>
              <w:left w:val="single" w:sz="4" w:space="0" w:color="auto"/>
              <w:bottom w:val="single" w:sz="4" w:space="0" w:color="auto"/>
              <w:right w:val="single" w:sz="4" w:space="0" w:color="auto"/>
            </w:tcBorders>
          </w:tcPr>
          <w:p w14:paraId="2D583E11" w14:textId="77777777" w:rsidR="00795DD0" w:rsidRDefault="00795DD0">
            <w:pPr>
              <w:spacing w:line="240" w:lineRule="auto"/>
              <w:jc w:val="center"/>
              <w:rPr>
                <w:rFonts w:ascii="Arial" w:hAnsi="Arial" w:cs="Arial"/>
                <w:szCs w:val="20"/>
              </w:rPr>
            </w:pPr>
          </w:p>
        </w:tc>
      </w:tr>
      <w:tr w:rsidR="00795DD0" w14:paraId="38C113CB" w14:textId="77777777" w:rsidTr="00D57D9E">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388DC182" w14:textId="77777777" w:rsidR="00795DD0" w:rsidRDefault="00795DD0">
            <w:pPr>
              <w:spacing w:line="240" w:lineRule="auto"/>
              <w:rPr>
                <w:rFonts w:ascii="Arial" w:hAnsi="Arial" w:cs="Arial"/>
                <w:szCs w:val="20"/>
              </w:rPr>
            </w:pPr>
            <w:r>
              <w:rPr>
                <w:rFonts w:ascii="Arial" w:hAnsi="Arial" w:cs="Arial"/>
                <w:szCs w:val="20"/>
              </w:rPr>
              <w:t>Unknown</w:t>
            </w:r>
          </w:p>
        </w:tc>
        <w:tc>
          <w:tcPr>
            <w:tcW w:w="1127" w:type="dxa"/>
            <w:tcBorders>
              <w:top w:val="single" w:sz="4" w:space="0" w:color="auto"/>
              <w:left w:val="single" w:sz="4" w:space="0" w:color="auto"/>
              <w:bottom w:val="single" w:sz="4" w:space="0" w:color="auto"/>
              <w:right w:val="single" w:sz="4" w:space="0" w:color="auto"/>
            </w:tcBorders>
          </w:tcPr>
          <w:p w14:paraId="31456E52" w14:textId="77777777" w:rsidR="00795DD0" w:rsidRDefault="00795DD0">
            <w:pPr>
              <w:spacing w:line="240" w:lineRule="auto"/>
              <w:jc w:val="cente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4FA60E50" w14:textId="77777777" w:rsidR="00795DD0" w:rsidRDefault="00795DD0">
            <w:pPr>
              <w:spacing w:line="240" w:lineRule="auto"/>
              <w:rPr>
                <w:rFonts w:ascii="Arial" w:hAnsi="Arial" w:cs="Arial"/>
                <w:szCs w:val="20"/>
              </w:rPr>
            </w:pPr>
            <w:r>
              <w:rPr>
                <w:rFonts w:ascii="Arial" w:hAnsi="Arial" w:cs="Arial"/>
                <w:szCs w:val="20"/>
              </w:rPr>
              <w:t>Notes:</w:t>
            </w:r>
          </w:p>
        </w:tc>
        <w:tc>
          <w:tcPr>
            <w:tcW w:w="7217" w:type="dxa"/>
            <w:gridSpan w:val="5"/>
            <w:tcBorders>
              <w:top w:val="single" w:sz="4" w:space="0" w:color="auto"/>
              <w:left w:val="single" w:sz="4" w:space="0" w:color="auto"/>
              <w:bottom w:val="single" w:sz="4" w:space="0" w:color="auto"/>
              <w:right w:val="single" w:sz="4" w:space="0" w:color="auto"/>
            </w:tcBorders>
            <w:hideMark/>
          </w:tcPr>
          <w:p w14:paraId="307FFAB1" w14:textId="77777777" w:rsidR="00795DD0" w:rsidRDefault="00795DD0">
            <w:pPr>
              <w:rPr>
                <w:rFonts w:ascii="Arial" w:hAnsi="Arial" w:cs="Arial"/>
                <w:szCs w:val="20"/>
              </w:rPr>
            </w:pPr>
          </w:p>
        </w:tc>
      </w:tr>
      <w:tr w:rsidR="00795DD0" w14:paraId="344E2F48" w14:textId="77777777" w:rsidTr="00D57D9E">
        <w:tc>
          <w:tcPr>
            <w:tcW w:w="4508" w:type="dxa"/>
            <w:gridSpan w:val="4"/>
            <w:tcBorders>
              <w:top w:val="single" w:sz="4" w:space="0" w:color="auto"/>
              <w:left w:val="single" w:sz="4" w:space="0" w:color="auto"/>
              <w:bottom w:val="single" w:sz="4" w:space="0" w:color="auto"/>
              <w:right w:val="single" w:sz="4" w:space="0" w:color="auto"/>
            </w:tcBorders>
            <w:shd w:val="clear" w:color="auto" w:fill="D0D0CE" w:themeFill="background2"/>
            <w:hideMark/>
          </w:tcPr>
          <w:p w14:paraId="62213520" w14:textId="6F2C58E1" w:rsidR="00795DD0" w:rsidRDefault="00795DD0">
            <w:pPr>
              <w:spacing w:line="240" w:lineRule="auto"/>
              <w:rPr>
                <w:rFonts w:ascii="Arial" w:hAnsi="Arial" w:cs="Arial"/>
                <w:szCs w:val="20"/>
              </w:rPr>
            </w:pPr>
            <w:r>
              <w:rPr>
                <w:rFonts w:ascii="Arial" w:hAnsi="Arial" w:cs="Arial"/>
                <w:szCs w:val="20"/>
              </w:rPr>
              <w:t>1</w:t>
            </w:r>
            <w:r w:rsidR="00301137">
              <w:rPr>
                <w:rFonts w:ascii="Arial" w:hAnsi="Arial" w:cs="Arial"/>
                <w:szCs w:val="20"/>
              </w:rPr>
              <w:t>6</w:t>
            </w:r>
            <w:r>
              <w:rPr>
                <w:rFonts w:ascii="Arial" w:hAnsi="Arial" w:cs="Arial"/>
                <w:szCs w:val="20"/>
              </w:rPr>
              <w:t>. Recommended for inclusion</w:t>
            </w: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2EFFF96C" w14:textId="77777777" w:rsidR="00795DD0" w:rsidRDefault="00795DD0">
            <w:pPr>
              <w:spacing w:line="240" w:lineRule="auto"/>
              <w:rPr>
                <w:rFonts w:ascii="Arial" w:hAnsi="Arial" w:cs="Arial"/>
                <w:szCs w:val="20"/>
              </w:rPr>
            </w:pPr>
            <w:r>
              <w:rPr>
                <w:rFonts w:ascii="Arial" w:hAnsi="Arial" w:cs="Arial"/>
                <w:szCs w:val="20"/>
              </w:rPr>
              <w:t>Yes</w:t>
            </w:r>
          </w:p>
        </w:tc>
        <w:tc>
          <w:tcPr>
            <w:tcW w:w="1127" w:type="dxa"/>
            <w:tcBorders>
              <w:top w:val="single" w:sz="4" w:space="0" w:color="auto"/>
              <w:left w:val="single" w:sz="4" w:space="0" w:color="auto"/>
              <w:bottom w:val="single" w:sz="4" w:space="0" w:color="auto"/>
              <w:right w:val="single" w:sz="4" w:space="0" w:color="auto"/>
            </w:tcBorders>
            <w:hideMark/>
          </w:tcPr>
          <w:p w14:paraId="2D10742F" w14:textId="77777777" w:rsidR="00795DD0" w:rsidRDefault="00795DD0">
            <w:pPr>
              <w:rPr>
                <w:rFonts w:ascii="Arial" w:hAnsi="Arial" w:cs="Arial"/>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0D0CE" w:themeFill="background2"/>
            <w:hideMark/>
          </w:tcPr>
          <w:p w14:paraId="6B4601A5" w14:textId="77777777" w:rsidR="00795DD0" w:rsidRDefault="00795DD0">
            <w:pPr>
              <w:spacing w:line="240" w:lineRule="auto"/>
              <w:rPr>
                <w:rFonts w:ascii="Arial" w:hAnsi="Arial" w:cs="Arial"/>
                <w:szCs w:val="20"/>
              </w:rPr>
            </w:pPr>
            <w:r>
              <w:rPr>
                <w:rFonts w:ascii="Arial" w:hAnsi="Arial" w:cs="Arial"/>
                <w:szCs w:val="20"/>
              </w:rPr>
              <w:t>No</w:t>
            </w:r>
          </w:p>
        </w:tc>
        <w:tc>
          <w:tcPr>
            <w:tcW w:w="2709" w:type="dxa"/>
            <w:tcBorders>
              <w:top w:val="single" w:sz="4" w:space="0" w:color="auto"/>
              <w:left w:val="single" w:sz="4" w:space="0" w:color="auto"/>
              <w:bottom w:val="single" w:sz="4" w:space="0" w:color="auto"/>
              <w:right w:val="single" w:sz="4" w:space="0" w:color="auto"/>
            </w:tcBorders>
          </w:tcPr>
          <w:p w14:paraId="77B9F739" w14:textId="77777777" w:rsidR="00795DD0" w:rsidRDefault="00795DD0">
            <w:pPr>
              <w:spacing w:line="240" w:lineRule="auto"/>
              <w:jc w:val="center"/>
              <w:rPr>
                <w:rFonts w:ascii="Arial" w:hAnsi="Arial" w:cs="Arial"/>
                <w:szCs w:val="20"/>
              </w:rPr>
            </w:pPr>
          </w:p>
        </w:tc>
      </w:tr>
      <w:tr w:rsidR="00795DD0" w14:paraId="179D6DCF" w14:textId="77777777" w:rsidTr="00D57D9E">
        <w:tc>
          <w:tcPr>
            <w:tcW w:w="4508" w:type="dxa"/>
            <w:gridSpan w:val="4"/>
            <w:tcBorders>
              <w:top w:val="single" w:sz="4" w:space="0" w:color="auto"/>
              <w:left w:val="single" w:sz="4" w:space="0" w:color="auto"/>
              <w:bottom w:val="single" w:sz="4" w:space="0" w:color="auto"/>
              <w:right w:val="single" w:sz="4" w:space="0" w:color="auto"/>
            </w:tcBorders>
            <w:shd w:val="clear" w:color="auto" w:fill="D0D0CE" w:themeFill="background2"/>
            <w:hideMark/>
          </w:tcPr>
          <w:p w14:paraId="3678B473" w14:textId="160605CA" w:rsidR="00795DD0" w:rsidRDefault="00795DD0">
            <w:pPr>
              <w:spacing w:line="240" w:lineRule="auto"/>
              <w:rPr>
                <w:rFonts w:ascii="Arial" w:hAnsi="Arial" w:cs="Arial"/>
                <w:szCs w:val="20"/>
              </w:rPr>
            </w:pPr>
            <w:r>
              <w:rPr>
                <w:rFonts w:ascii="Arial" w:hAnsi="Arial" w:cs="Arial"/>
                <w:szCs w:val="20"/>
              </w:rPr>
              <w:t>1</w:t>
            </w:r>
            <w:r w:rsidR="00301137">
              <w:rPr>
                <w:rFonts w:ascii="Arial" w:hAnsi="Arial" w:cs="Arial"/>
                <w:szCs w:val="20"/>
              </w:rPr>
              <w:t>7</w:t>
            </w:r>
            <w:r>
              <w:rPr>
                <w:rFonts w:ascii="Arial" w:hAnsi="Arial" w:cs="Arial"/>
                <w:szCs w:val="20"/>
              </w:rPr>
              <w:t>. Date of assessment</w:t>
            </w:r>
          </w:p>
        </w:tc>
        <w:tc>
          <w:tcPr>
            <w:tcW w:w="6090" w:type="dxa"/>
            <w:gridSpan w:val="4"/>
            <w:tcBorders>
              <w:top w:val="single" w:sz="4" w:space="0" w:color="auto"/>
              <w:left w:val="single" w:sz="4" w:space="0" w:color="auto"/>
              <w:bottom w:val="single" w:sz="4" w:space="0" w:color="auto"/>
              <w:right w:val="single" w:sz="4" w:space="0" w:color="auto"/>
            </w:tcBorders>
          </w:tcPr>
          <w:p w14:paraId="4FAF6AB4" w14:textId="77777777" w:rsidR="00795DD0" w:rsidRDefault="00795DD0">
            <w:pPr>
              <w:spacing w:line="240" w:lineRule="auto"/>
              <w:rPr>
                <w:rFonts w:ascii="Arial" w:hAnsi="Arial" w:cs="Arial"/>
                <w:szCs w:val="20"/>
              </w:rPr>
            </w:pPr>
          </w:p>
        </w:tc>
      </w:tr>
      <w:bookmarkEnd w:id="6"/>
    </w:tbl>
    <w:p w14:paraId="6562AAC0" w14:textId="77777777" w:rsidR="00795DD0" w:rsidRPr="00795DD0" w:rsidRDefault="00795DD0" w:rsidP="00EB28F0"/>
    <w:sectPr w:rsidR="00795DD0" w:rsidRPr="00795DD0" w:rsidSect="002C35D9">
      <w:headerReference w:type="first" r:id="rId12"/>
      <w:footerReference w:type="first" r:id="rId13"/>
      <w:pgSz w:w="11906" w:h="16838" w:code="9"/>
      <w:pgMar w:top="1899" w:right="680" w:bottom="1418" w:left="680" w:header="6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8820" w14:textId="77777777" w:rsidR="00E959E7" w:rsidRDefault="00E959E7" w:rsidP="006C63A1">
      <w:r>
        <w:separator/>
      </w:r>
    </w:p>
  </w:endnote>
  <w:endnote w:type="continuationSeparator" w:id="0">
    <w:p w14:paraId="5F1C0178" w14:textId="77777777" w:rsidR="00E959E7" w:rsidRDefault="00E959E7" w:rsidP="006C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39"/>
      <w:gridCol w:w="2520"/>
      <w:gridCol w:w="2463"/>
    </w:tblGrid>
    <w:tr w:rsidR="002B1022" w14:paraId="48555C54" w14:textId="77777777" w:rsidTr="00FA077A">
      <w:trPr>
        <w:trHeight w:hRule="exact" w:val="454"/>
      </w:trPr>
      <w:tc>
        <w:tcPr>
          <w:tcW w:w="2539" w:type="dxa"/>
        </w:tcPr>
        <w:p w14:paraId="1F6100CB" w14:textId="19C36E94" w:rsidR="002B1022" w:rsidRPr="001268B3" w:rsidRDefault="002B1022" w:rsidP="00057E17">
          <w:pPr>
            <w:pStyle w:val="FooterBold"/>
          </w:pPr>
        </w:p>
      </w:tc>
      <w:tc>
        <w:tcPr>
          <w:tcW w:w="2520" w:type="dxa"/>
        </w:tcPr>
        <w:p w14:paraId="67681BFF" w14:textId="7975D4C4" w:rsidR="002B1022" w:rsidRDefault="002B1022" w:rsidP="006C63A1">
          <w:pPr>
            <w:pStyle w:val="Header"/>
          </w:pPr>
        </w:p>
      </w:tc>
      <w:tc>
        <w:tcPr>
          <w:tcW w:w="2463" w:type="dxa"/>
        </w:tcPr>
        <w:p w14:paraId="200704F1" w14:textId="77777777" w:rsidR="002B1022" w:rsidRDefault="002B1022" w:rsidP="006C63A1">
          <w:pPr>
            <w:pStyle w:val="Header"/>
          </w:pPr>
        </w:p>
      </w:tc>
    </w:tr>
  </w:tbl>
  <w:p w14:paraId="0DC3E6FF" w14:textId="77777777" w:rsidR="002B1022" w:rsidRPr="002B1022" w:rsidRDefault="0010006D" w:rsidP="006C63A1">
    <w:pPr>
      <w:pStyle w:val="Footer"/>
    </w:pPr>
    <w:r>
      <w:rPr>
        <w:noProof/>
        <w:lang w:eastAsia="en-GB"/>
      </w:rPr>
      <w:drawing>
        <wp:anchor distT="0" distB="0" distL="114300" distR="114300" simplePos="0" relativeHeight="251685888" behindDoc="0" locked="1" layoutInCell="1" allowOverlap="1" wp14:anchorId="05A7A231" wp14:editId="0B05D372">
          <wp:simplePos x="0" y="0"/>
          <wp:positionH relativeFrom="page">
            <wp:posOffset>5033645</wp:posOffset>
          </wp:positionH>
          <wp:positionV relativeFrom="page">
            <wp:posOffset>10437495</wp:posOffset>
          </wp:positionV>
          <wp:extent cx="2584800" cy="259200"/>
          <wp:effectExtent l="0" t="0" r="635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CornerGraphic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800" cy="259200"/>
                  </a:xfrm>
                  <a:prstGeom prst="rect">
                    <a:avLst/>
                  </a:prstGeom>
                </pic:spPr>
              </pic:pic>
            </a:graphicData>
          </a:graphic>
          <wp14:sizeRelH relativeFrom="margin">
            <wp14:pctWidth>0</wp14:pctWidth>
          </wp14:sizeRelH>
          <wp14:sizeRelV relativeFrom="margin">
            <wp14:pctHeight>0</wp14:pctHeight>
          </wp14:sizeRelV>
        </wp:anchor>
      </w:drawing>
    </w:r>
    <w:r w:rsidR="002B1022">
      <w:rPr>
        <w:noProof/>
        <w:lang w:eastAsia="en-GB"/>
      </w:rPr>
      <mc:AlternateContent>
        <mc:Choice Requires="wps">
          <w:drawing>
            <wp:anchor distT="0" distB="0" distL="114300" distR="114300" simplePos="0" relativeHeight="251674624" behindDoc="0" locked="1" layoutInCell="1" allowOverlap="1" wp14:anchorId="798D853E" wp14:editId="453D8AA4">
              <wp:simplePos x="0" y="0"/>
              <wp:positionH relativeFrom="page">
                <wp:posOffset>864235</wp:posOffset>
              </wp:positionH>
              <wp:positionV relativeFrom="page">
                <wp:posOffset>9969500</wp:posOffset>
              </wp:positionV>
              <wp:extent cx="6804000" cy="0"/>
              <wp:effectExtent l="0" t="0" r="16510" b="19050"/>
              <wp:wrapNone/>
              <wp:docPr id="11" name="Straight Connector 11"/>
              <wp:cNvGraphicFramePr/>
              <a:graphic xmlns:a="http://schemas.openxmlformats.org/drawingml/2006/main">
                <a:graphicData uri="http://schemas.microsoft.com/office/word/2010/wordprocessingShape">
                  <wps:wsp>
                    <wps:cNvCnPr/>
                    <wps:spPr>
                      <a:xfrm>
                        <a:off x="0" y="0"/>
                        <a:ext cx="6804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2D2098" id="Straight Connector 11"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8.05pt,785pt" to="603.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" strokecolor="#63666a [3215]"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39"/>
      <w:gridCol w:w="2520"/>
      <w:gridCol w:w="2463"/>
    </w:tblGrid>
    <w:tr w:rsidR="004C340E" w14:paraId="64BB0752" w14:textId="77777777" w:rsidTr="00FA077A">
      <w:trPr>
        <w:trHeight w:hRule="exact" w:val="454"/>
      </w:trPr>
      <w:tc>
        <w:tcPr>
          <w:tcW w:w="2539" w:type="dxa"/>
        </w:tcPr>
        <w:p w14:paraId="2EF8F067" w14:textId="387066F7" w:rsidR="004C340E" w:rsidRPr="00057E17" w:rsidRDefault="004C340E" w:rsidP="00057E17">
          <w:pPr>
            <w:pStyle w:val="FooterBold"/>
          </w:pPr>
        </w:p>
      </w:tc>
      <w:tc>
        <w:tcPr>
          <w:tcW w:w="2520" w:type="dxa"/>
        </w:tcPr>
        <w:p w14:paraId="1F2B7C42" w14:textId="7BF3AC11" w:rsidR="004C340E" w:rsidRDefault="002B1022" w:rsidP="006C63A1">
          <w:pPr>
            <w:pStyle w:val="Header"/>
          </w:pPr>
          <w:bookmarkStart w:id="2" w:name="footer"/>
          <w:r>
            <w:t xml:space="preserve"> </w:t>
          </w:r>
          <w:bookmarkEnd w:id="2"/>
          <w:r w:rsidR="00A37DE6">
            <w:t xml:space="preserve"> </w:t>
          </w:r>
        </w:p>
      </w:tc>
      <w:tc>
        <w:tcPr>
          <w:tcW w:w="2463" w:type="dxa"/>
        </w:tcPr>
        <w:p w14:paraId="624AA579" w14:textId="77777777" w:rsidR="004C340E" w:rsidRDefault="004C340E" w:rsidP="006C63A1">
          <w:pPr>
            <w:pStyle w:val="Header"/>
          </w:pPr>
        </w:p>
      </w:tc>
    </w:tr>
  </w:tbl>
  <w:p w14:paraId="7614B1FF" w14:textId="77777777" w:rsidR="004C340E" w:rsidRPr="004D3ABB" w:rsidRDefault="004C340E" w:rsidP="006C63A1">
    <w:pPr>
      <w:pStyle w:val="Footer"/>
    </w:pPr>
    <w:r>
      <w:rPr>
        <w:noProof/>
        <w:lang w:eastAsia="en-GB"/>
      </w:rPr>
      <mc:AlternateContent>
        <mc:Choice Requires="wps">
          <w:drawing>
            <wp:anchor distT="0" distB="0" distL="114300" distR="114300" simplePos="0" relativeHeight="251667456" behindDoc="0" locked="1" layoutInCell="1" allowOverlap="1" wp14:anchorId="0F676FE8" wp14:editId="0E3CCBBC">
              <wp:simplePos x="0" y="0"/>
              <wp:positionH relativeFrom="page">
                <wp:posOffset>864235</wp:posOffset>
              </wp:positionH>
              <wp:positionV relativeFrom="page">
                <wp:posOffset>9969500</wp:posOffset>
              </wp:positionV>
              <wp:extent cx="680400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804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145A5" id="Straight Connector 6"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8.05pt,785pt" to="603.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" strokecolor="#63666a [3215]"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AB93" w14:textId="39CD1412" w:rsidR="00FD2C84" w:rsidRPr="00522C7D" w:rsidRDefault="00FD2C84" w:rsidP="00522C7D">
    <w:pPr>
      <w:pStyle w:val="Footer"/>
      <w:spacing w:line="220" w:lineRule="atLea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64CD" w14:textId="77777777" w:rsidR="00E959E7" w:rsidRDefault="00E959E7" w:rsidP="006C63A1">
      <w:r>
        <w:separator/>
      </w:r>
    </w:p>
  </w:footnote>
  <w:footnote w:type="continuationSeparator" w:id="0">
    <w:p w14:paraId="61EB3EAC" w14:textId="77777777" w:rsidR="00E959E7" w:rsidRDefault="00E959E7" w:rsidP="006C63A1">
      <w:r>
        <w:continuationSeparator/>
      </w:r>
    </w:p>
  </w:footnote>
  <w:footnote w:id="1">
    <w:p w14:paraId="68D03176" w14:textId="6C93D2DD" w:rsidR="009F2E57" w:rsidRPr="009F2E57" w:rsidRDefault="009F2E57">
      <w:pPr>
        <w:pStyle w:val="FootnoteText"/>
      </w:pPr>
      <w:r w:rsidRPr="009F2E57">
        <w:rPr>
          <w:rStyle w:val="FootnoteReference"/>
        </w:rPr>
        <w:footnoteRef/>
      </w:r>
      <w:r w:rsidRPr="009F2E57">
        <w:t xml:space="preserve"> </w:t>
      </w:r>
      <w:bookmarkStart w:id="4" w:name="_Hlk132225276"/>
      <w:r w:rsidRPr="009F2E57">
        <w:t xml:space="preserve">Planning Practice Guidance </w:t>
      </w:r>
      <w:r w:rsidRPr="009F2E57">
        <w:rPr>
          <w:rFonts w:ascii="Arial" w:hAnsi="Arial" w:cs="Arial"/>
          <w:shd w:val="clear" w:color="auto" w:fill="FFFFFF"/>
        </w:rPr>
        <w:t>Paragraph: 039 Reference ID: 18a-039-20190723</w:t>
      </w:r>
      <w:bookmarkEnd w:id="4"/>
    </w:p>
  </w:footnote>
  <w:footnote w:id="2">
    <w:p w14:paraId="568C9CF9" w14:textId="51A9F143" w:rsidR="009F2E57" w:rsidRPr="009F2E57" w:rsidRDefault="009F2E57">
      <w:pPr>
        <w:pStyle w:val="FootnoteText"/>
      </w:pPr>
      <w:r w:rsidRPr="009F2E57">
        <w:rPr>
          <w:rStyle w:val="FootnoteReference"/>
        </w:rPr>
        <w:footnoteRef/>
      </w:r>
      <w:r w:rsidRPr="009F2E57">
        <w:t xml:space="preserve"> </w:t>
      </w:r>
      <w:r w:rsidR="00E40DA6" w:rsidRPr="00E40DA6">
        <w:rPr>
          <w:szCs w:val="22"/>
        </w:rPr>
        <w:t>https://historicengland.org.uk/images-books/publications/local-heritage-listing-advice-note-7/heag301-local-heritage-listing/</w:t>
      </w:r>
    </w:p>
  </w:footnote>
  <w:footnote w:id="3">
    <w:p w14:paraId="299C73D8" w14:textId="77777777" w:rsidR="00EB28F0" w:rsidRDefault="00EB28F0" w:rsidP="00EB28F0">
      <w:pPr>
        <w:pStyle w:val="FootnoteText"/>
      </w:pPr>
      <w:r>
        <w:rPr>
          <w:rStyle w:val="FootnoteReference"/>
        </w:rPr>
        <w:footnoteRef/>
      </w:r>
      <w:r>
        <w:t xml:space="preserve"> </w:t>
      </w:r>
      <w:r w:rsidRPr="009F2E57">
        <w:t xml:space="preserve">Planning Practice Guidance </w:t>
      </w:r>
      <w:r w:rsidRPr="009F2E57">
        <w:rPr>
          <w:rFonts w:ascii="Arial" w:hAnsi="Arial" w:cs="Arial"/>
          <w:shd w:val="clear" w:color="auto" w:fill="FFFFFF"/>
        </w:rPr>
        <w:t>Paragraph: 039 Reference ID: 18a-039-20190723</w:t>
      </w:r>
    </w:p>
  </w:footnote>
  <w:footnote w:id="4">
    <w:p w14:paraId="213C1193" w14:textId="542F3497" w:rsidR="004960A3" w:rsidRDefault="004960A3">
      <w:pPr>
        <w:pStyle w:val="FootnoteText"/>
      </w:pPr>
      <w:r>
        <w:rPr>
          <w:rStyle w:val="FootnoteReference"/>
        </w:rPr>
        <w:footnoteRef/>
      </w:r>
      <w:r>
        <w:t xml:space="preserve"> Sites can only be accessed with the owner’s permission. If the sites are not visible from the public realm their condition, completeness and overall significance cannot be fully appreciated and may hinder the assessment process.</w:t>
      </w:r>
    </w:p>
  </w:footnote>
  <w:footnote w:id="5">
    <w:p w14:paraId="5B6083C2" w14:textId="230876E1" w:rsidR="004960A3" w:rsidRDefault="004960A3">
      <w:pPr>
        <w:pStyle w:val="FootnoteText"/>
      </w:pPr>
      <w:r>
        <w:rPr>
          <w:rStyle w:val="FootnoteReference"/>
        </w:rPr>
        <w:footnoteRef/>
      </w:r>
      <w:r>
        <w:t xml:space="preserve"> Additional photographs can be provided here to illustrate </w:t>
      </w:r>
      <w:proofErr w:type="gramStart"/>
      <w:r>
        <w:t>particular features</w:t>
      </w:r>
      <w:proofErr w:type="gramEnd"/>
      <w:r>
        <w:t xml:space="preserve"> of significance.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7BCD" w14:textId="77777777" w:rsidR="001268B3" w:rsidRDefault="002F21B3" w:rsidP="006C63A1">
    <w:pPr>
      <w:pStyle w:val="Header"/>
    </w:pPr>
    <w:r>
      <w:rPr>
        <w:noProof/>
        <w:lang w:eastAsia="en-GB"/>
      </w:rPr>
      <w:drawing>
        <wp:anchor distT="0" distB="0" distL="114300" distR="114300" simplePos="0" relativeHeight="251669504" behindDoc="0" locked="1" layoutInCell="1" allowOverlap="1" wp14:anchorId="64FC9DCD" wp14:editId="4A3EB4B6">
          <wp:simplePos x="0" y="0"/>
          <wp:positionH relativeFrom="page">
            <wp:posOffset>4968875</wp:posOffset>
          </wp:positionH>
          <wp:positionV relativeFrom="page">
            <wp:posOffset>9714230</wp:posOffset>
          </wp:positionV>
          <wp:extent cx="2160000" cy="57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Footer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572400"/>
                  </a:xfrm>
                  <a:prstGeom prst="rect">
                    <a:avLst/>
                  </a:prstGeom>
                </pic:spPr>
              </pic:pic>
            </a:graphicData>
          </a:graphic>
          <wp14:sizeRelH relativeFrom="margin">
            <wp14:pctWidth>0</wp14:pctWidth>
          </wp14:sizeRelH>
          <wp14:sizeRelV relativeFrom="margin">
            <wp14:pctHeight>0</wp14:pctHeight>
          </wp14:sizeRelV>
        </wp:anchor>
      </w:drawing>
    </w:r>
    <w:r w:rsidR="009E714D">
      <w:rPr>
        <w:noProof/>
        <w:lang w:eastAsia="en-GB"/>
      </w:rPr>
      <w:drawing>
        <wp:anchor distT="0" distB="0" distL="114300" distR="114300" simplePos="0" relativeHeight="251683840" behindDoc="1" locked="1" layoutInCell="1" allowOverlap="1" wp14:anchorId="62A791E4" wp14:editId="5194C79F">
          <wp:simplePos x="0" y="0"/>
          <wp:positionH relativeFrom="page">
            <wp:posOffset>0</wp:posOffset>
          </wp:positionH>
          <wp:positionV relativeFrom="page">
            <wp:posOffset>2688590</wp:posOffset>
          </wp:positionV>
          <wp:extent cx="7563485" cy="80206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Cover_Red.jpg"/>
                  <pic:cNvPicPr/>
                </pic:nvPicPr>
                <pic:blipFill>
                  <a:blip r:embed="rId2">
                    <a:extLst>
                      <a:ext uri="{28A0092B-C50C-407E-A947-70E740481C1C}">
                        <a14:useLocalDpi xmlns:a14="http://schemas.microsoft.com/office/drawing/2010/main" val="0"/>
                      </a:ext>
                    </a:extLst>
                  </a:blip>
                  <a:stretch>
                    <a:fillRect/>
                  </a:stretch>
                </pic:blipFill>
                <pic:spPr>
                  <a:xfrm>
                    <a:off x="0" y="0"/>
                    <a:ext cx="7563485" cy="8020685"/>
                  </a:xfrm>
                  <a:prstGeom prst="rect">
                    <a:avLst/>
                  </a:prstGeom>
                </pic:spPr>
              </pic:pic>
            </a:graphicData>
          </a:graphic>
          <wp14:sizeRelH relativeFrom="margin">
            <wp14:pctWidth>0</wp14:pctWidth>
          </wp14:sizeRelH>
          <wp14:sizeRelV relativeFrom="margin">
            <wp14:pctHeight>0</wp14:pctHeight>
          </wp14:sizeRelV>
        </wp:anchor>
      </w:drawing>
    </w:r>
    <w:r w:rsidR="009E714D">
      <w:rPr>
        <w:noProof/>
        <w:lang w:eastAsia="en-GB"/>
      </w:rPr>
      <w:drawing>
        <wp:anchor distT="0" distB="0" distL="114300" distR="114300" simplePos="0" relativeHeight="251682816" behindDoc="0" locked="1" layoutInCell="1" allowOverlap="1" wp14:anchorId="53BAF8E6" wp14:editId="46EB7D1A">
          <wp:simplePos x="0" y="0"/>
          <wp:positionH relativeFrom="page">
            <wp:posOffset>5868670</wp:posOffset>
          </wp:positionH>
          <wp:positionV relativeFrom="page">
            <wp:posOffset>431800</wp:posOffset>
          </wp:positionV>
          <wp:extent cx="1263600" cy="120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Logo_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3600" cy="120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39"/>
      <w:gridCol w:w="2520"/>
      <w:gridCol w:w="2463"/>
    </w:tblGrid>
    <w:tr w:rsidR="004C340E" w14:paraId="02F4AA62" w14:textId="77777777" w:rsidTr="00D22723">
      <w:trPr>
        <w:trHeight w:hRule="exact" w:val="454"/>
      </w:trPr>
      <w:tc>
        <w:tcPr>
          <w:tcW w:w="2539" w:type="dxa"/>
        </w:tcPr>
        <w:p w14:paraId="18FB4864" w14:textId="70BEBAD6" w:rsidR="004C340E" w:rsidRPr="001268B3" w:rsidRDefault="004C340E" w:rsidP="006C63A1">
          <w:pPr>
            <w:pStyle w:val="Header"/>
          </w:pPr>
          <w:r w:rsidRPr="001268B3">
            <w:t xml:space="preserve">Page </w:t>
          </w:r>
          <w:sdt>
            <w:sdtPr>
              <w:id w:val="-348642105"/>
              <w:docPartObj>
                <w:docPartGallery w:val="Page Numbers (Margins)"/>
                <w:docPartUnique/>
              </w:docPartObj>
            </w:sdtPr>
            <w:sdtEndPr/>
            <w:sdtContent>
              <w:sdt>
                <w:sdtPr>
                  <w:id w:val="1101758471"/>
                  <w:docPartObj>
                    <w:docPartGallery w:val="Page Numbers (Margins)"/>
                    <w:docPartUnique/>
                  </w:docPartObj>
                </w:sdtPr>
                <w:sdtEndPr/>
                <w:sdtContent>
                  <w:r w:rsidRPr="001268B3">
                    <w:fldChar w:fldCharType="begin"/>
                  </w:r>
                  <w:r w:rsidRPr="001268B3">
                    <w:instrText xml:space="preserve"> PAGE   \* MERGEFORMAT </w:instrText>
                  </w:r>
                  <w:r w:rsidRPr="001268B3">
                    <w:fldChar w:fldCharType="separate"/>
                  </w:r>
                  <w:r w:rsidR="001A17F1">
                    <w:rPr>
                      <w:noProof/>
                    </w:rPr>
                    <w:t>5</w:t>
                  </w:r>
                  <w:r w:rsidRPr="001268B3">
                    <w:fldChar w:fldCharType="end"/>
                  </w:r>
                </w:sdtContent>
              </w:sdt>
            </w:sdtContent>
          </w:sdt>
        </w:p>
      </w:tc>
      <w:tc>
        <w:tcPr>
          <w:tcW w:w="2520" w:type="dxa"/>
        </w:tcPr>
        <w:p w14:paraId="7B14E5F6" w14:textId="77777777" w:rsidR="004C340E" w:rsidRPr="009478BD" w:rsidRDefault="00E959E7" w:rsidP="006C63A1">
          <w:pPr>
            <w:pStyle w:val="Header"/>
            <w:rPr>
              <w:b/>
            </w:rPr>
          </w:pPr>
          <w:r>
            <w:rPr>
              <w:b/>
            </w:rPr>
            <w:t>Project</w:t>
          </w:r>
          <w:r w:rsidR="004C340E" w:rsidRPr="009478BD">
            <w:rPr>
              <w:b/>
            </w:rPr>
            <w:t>:</w:t>
          </w:r>
        </w:p>
        <w:p w14:paraId="6BC71310" w14:textId="4574A3D7" w:rsidR="004C340E" w:rsidRDefault="009A44B6" w:rsidP="006C7E9E">
          <w:pPr>
            <w:pStyle w:val="Header"/>
          </w:pPr>
          <w:r>
            <w:fldChar w:fldCharType="begin"/>
          </w:r>
          <w:r>
            <w:instrText xml:space="preserve"> REF  client </w:instrText>
          </w:r>
          <w:r>
            <w:fldChar w:fldCharType="separate"/>
          </w:r>
          <w:r w:rsidR="0000452A">
            <w:t>Local Heritage List</w:t>
          </w:r>
          <w:r w:rsidR="0035061E" w:rsidRPr="005A2B1C">
            <w:t xml:space="preserve"> </w:t>
          </w:r>
          <w:r>
            <w:fldChar w:fldCharType="end"/>
          </w:r>
        </w:p>
      </w:tc>
      <w:tc>
        <w:tcPr>
          <w:tcW w:w="2463" w:type="dxa"/>
        </w:tcPr>
        <w:p w14:paraId="4F334107" w14:textId="77777777" w:rsidR="004C340E" w:rsidRPr="009478BD" w:rsidRDefault="004C340E" w:rsidP="006C63A1">
          <w:pPr>
            <w:pStyle w:val="Header"/>
            <w:rPr>
              <w:b/>
            </w:rPr>
          </w:pPr>
          <w:r w:rsidRPr="009478BD">
            <w:rPr>
              <w:b/>
            </w:rPr>
            <w:t>Local Planning Authority:</w:t>
          </w:r>
        </w:p>
        <w:p w14:paraId="7C5278E4" w14:textId="5CCB1EC4" w:rsidR="004C340E" w:rsidRDefault="0000452A" w:rsidP="006C63A1">
          <w:pPr>
            <w:pStyle w:val="Header"/>
          </w:pPr>
          <w:bookmarkStart w:id="1" w:name="lpa"/>
          <w:r>
            <w:t>London Borough of Havering</w:t>
          </w:r>
          <w:r w:rsidR="002B1022">
            <w:t xml:space="preserve"> </w:t>
          </w:r>
          <w:bookmarkEnd w:id="1"/>
        </w:p>
      </w:tc>
    </w:tr>
  </w:tbl>
  <w:p w14:paraId="7F392646" w14:textId="77777777" w:rsidR="004C340E" w:rsidRDefault="0010006D" w:rsidP="00EA5FD2">
    <w:pPr>
      <w:pStyle w:val="Header"/>
      <w:tabs>
        <w:tab w:val="clear" w:pos="9026"/>
      </w:tabs>
    </w:pPr>
    <w:r>
      <w:rPr>
        <w:noProof/>
        <w:lang w:eastAsia="en-GB"/>
      </w:rPr>
      <w:drawing>
        <wp:anchor distT="0" distB="0" distL="114300" distR="114300" simplePos="0" relativeHeight="251656192" behindDoc="0" locked="1" layoutInCell="1" allowOverlap="1" wp14:anchorId="532B175A" wp14:editId="372BA76B">
          <wp:simplePos x="0" y="0"/>
          <wp:positionH relativeFrom="page">
            <wp:posOffset>5033645</wp:posOffset>
          </wp:positionH>
          <wp:positionV relativeFrom="page">
            <wp:posOffset>10437495</wp:posOffset>
          </wp:positionV>
          <wp:extent cx="2584800" cy="259200"/>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CornerGraphic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800" cy="25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4560" behindDoc="1" locked="1" layoutInCell="1" allowOverlap="1" wp14:anchorId="20C297E7" wp14:editId="644A3F33">
          <wp:simplePos x="0" y="0"/>
          <wp:positionH relativeFrom="page">
            <wp:posOffset>6134100</wp:posOffset>
          </wp:positionH>
          <wp:positionV relativeFrom="page">
            <wp:posOffset>428625</wp:posOffset>
          </wp:positionV>
          <wp:extent cx="809625" cy="771525"/>
          <wp:effectExtent l="0" t="0" r="9525" b="9525"/>
          <wp:wrapTight wrapText="bothSides">
            <wp:wrapPolygon edited="0">
              <wp:start x="7115" y="0"/>
              <wp:lineTo x="0" y="6933"/>
              <wp:lineTo x="0" y="15467"/>
              <wp:lineTo x="6607" y="21333"/>
              <wp:lineTo x="7115" y="21333"/>
              <wp:lineTo x="10165" y="21333"/>
              <wp:lineTo x="10673" y="21333"/>
              <wp:lineTo x="16264" y="17067"/>
              <wp:lineTo x="21346" y="9600"/>
              <wp:lineTo x="21346" y="4800"/>
              <wp:lineTo x="10673" y="0"/>
              <wp:lineTo x="711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IntLogo_R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2371" w14:textId="0B87C3DE" w:rsidR="00FD2C84" w:rsidRPr="00FD2C84" w:rsidRDefault="00FD2C84" w:rsidP="006C6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F9C"/>
    <w:multiLevelType w:val="hybridMultilevel"/>
    <w:tmpl w:val="AF2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C3B4E"/>
    <w:multiLevelType w:val="hybridMultilevel"/>
    <w:tmpl w:val="E30A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B5084"/>
    <w:multiLevelType w:val="hybridMultilevel"/>
    <w:tmpl w:val="202ED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66B1B"/>
    <w:multiLevelType w:val="hybridMultilevel"/>
    <w:tmpl w:val="CDF8542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DE6796"/>
    <w:multiLevelType w:val="hybridMultilevel"/>
    <w:tmpl w:val="5224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BC0"/>
    <w:multiLevelType w:val="hybridMultilevel"/>
    <w:tmpl w:val="DA70B9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0B00D5"/>
    <w:multiLevelType w:val="hybridMultilevel"/>
    <w:tmpl w:val="D200CB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A0367E"/>
    <w:multiLevelType w:val="hybridMultilevel"/>
    <w:tmpl w:val="863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F47BA"/>
    <w:multiLevelType w:val="hybridMultilevel"/>
    <w:tmpl w:val="017C74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06A31"/>
    <w:multiLevelType w:val="hybridMultilevel"/>
    <w:tmpl w:val="551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74195"/>
    <w:multiLevelType w:val="hybridMultilevel"/>
    <w:tmpl w:val="F3407A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97B5B25"/>
    <w:multiLevelType w:val="hybridMultilevel"/>
    <w:tmpl w:val="A1FA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C638F"/>
    <w:multiLevelType w:val="hybridMultilevel"/>
    <w:tmpl w:val="3F6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442358">
    <w:abstractNumId w:val="11"/>
  </w:num>
  <w:num w:numId="2" w16cid:durableId="790319020">
    <w:abstractNumId w:val="9"/>
  </w:num>
  <w:num w:numId="3" w16cid:durableId="1425496887">
    <w:abstractNumId w:val="1"/>
  </w:num>
  <w:num w:numId="4" w16cid:durableId="177234423">
    <w:abstractNumId w:val="7"/>
  </w:num>
  <w:num w:numId="5" w16cid:durableId="1728869739">
    <w:abstractNumId w:val="2"/>
  </w:num>
  <w:num w:numId="6" w16cid:durableId="1573730925">
    <w:abstractNumId w:val="12"/>
  </w:num>
  <w:num w:numId="7" w16cid:durableId="1623924732">
    <w:abstractNumId w:val="8"/>
  </w:num>
  <w:num w:numId="8" w16cid:durableId="1865051602">
    <w:abstractNumId w:val="10"/>
  </w:num>
  <w:num w:numId="9" w16cid:durableId="2058773155">
    <w:abstractNumId w:val="3"/>
  </w:num>
  <w:num w:numId="10" w16cid:durableId="1643002151">
    <w:abstractNumId w:val="4"/>
  </w:num>
  <w:num w:numId="11" w16cid:durableId="106242088">
    <w:abstractNumId w:val="0"/>
  </w:num>
  <w:num w:numId="12" w16cid:durableId="808325609">
    <w:abstractNumId w:val="5"/>
  </w:num>
  <w:num w:numId="13" w16cid:durableId="1513109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E7"/>
    <w:rsid w:val="00001490"/>
    <w:rsid w:val="0000452A"/>
    <w:rsid w:val="00025F81"/>
    <w:rsid w:val="00035017"/>
    <w:rsid w:val="000428E9"/>
    <w:rsid w:val="00042E75"/>
    <w:rsid w:val="00057D20"/>
    <w:rsid w:val="00057E17"/>
    <w:rsid w:val="000679A2"/>
    <w:rsid w:val="00070991"/>
    <w:rsid w:val="0007488E"/>
    <w:rsid w:val="00086BDC"/>
    <w:rsid w:val="000A094E"/>
    <w:rsid w:val="000B1EF0"/>
    <w:rsid w:val="000B4B2F"/>
    <w:rsid w:val="000D1010"/>
    <w:rsid w:val="000D6F16"/>
    <w:rsid w:val="000E14EA"/>
    <w:rsid w:val="0010006D"/>
    <w:rsid w:val="0012293F"/>
    <w:rsid w:val="001267D5"/>
    <w:rsid w:val="001268B3"/>
    <w:rsid w:val="001274B0"/>
    <w:rsid w:val="00156E5B"/>
    <w:rsid w:val="00160202"/>
    <w:rsid w:val="0016787A"/>
    <w:rsid w:val="00170188"/>
    <w:rsid w:val="001A17F1"/>
    <w:rsid w:val="001B2C9C"/>
    <w:rsid w:val="001E01C0"/>
    <w:rsid w:val="001E29FB"/>
    <w:rsid w:val="001F64DC"/>
    <w:rsid w:val="00206518"/>
    <w:rsid w:val="00206A4B"/>
    <w:rsid w:val="00215D8E"/>
    <w:rsid w:val="00226FE3"/>
    <w:rsid w:val="00242149"/>
    <w:rsid w:val="00282F01"/>
    <w:rsid w:val="002B1022"/>
    <w:rsid w:val="002C35D9"/>
    <w:rsid w:val="002C46CC"/>
    <w:rsid w:val="002C7347"/>
    <w:rsid w:val="002F21B3"/>
    <w:rsid w:val="002F779C"/>
    <w:rsid w:val="00301137"/>
    <w:rsid w:val="003410BE"/>
    <w:rsid w:val="003424E9"/>
    <w:rsid w:val="0035056E"/>
    <w:rsid w:val="0035061E"/>
    <w:rsid w:val="003509C8"/>
    <w:rsid w:val="00384603"/>
    <w:rsid w:val="003B23AD"/>
    <w:rsid w:val="00403954"/>
    <w:rsid w:val="00412D19"/>
    <w:rsid w:val="00450790"/>
    <w:rsid w:val="004811A1"/>
    <w:rsid w:val="0049380C"/>
    <w:rsid w:val="004960A3"/>
    <w:rsid w:val="004B5DB2"/>
    <w:rsid w:val="004B65E5"/>
    <w:rsid w:val="004C340E"/>
    <w:rsid w:val="004D3ABB"/>
    <w:rsid w:val="004E1C44"/>
    <w:rsid w:val="00522C7D"/>
    <w:rsid w:val="00581216"/>
    <w:rsid w:val="00591696"/>
    <w:rsid w:val="005A2B1C"/>
    <w:rsid w:val="005B353B"/>
    <w:rsid w:val="005B6E9D"/>
    <w:rsid w:val="005D1940"/>
    <w:rsid w:val="005E6A6B"/>
    <w:rsid w:val="005F30F7"/>
    <w:rsid w:val="005F7DCD"/>
    <w:rsid w:val="00611B76"/>
    <w:rsid w:val="006243A3"/>
    <w:rsid w:val="00626843"/>
    <w:rsid w:val="00632EAC"/>
    <w:rsid w:val="00656A4D"/>
    <w:rsid w:val="0066177F"/>
    <w:rsid w:val="00664A46"/>
    <w:rsid w:val="006714C2"/>
    <w:rsid w:val="00682B2C"/>
    <w:rsid w:val="00693D0C"/>
    <w:rsid w:val="00695B96"/>
    <w:rsid w:val="00697FEA"/>
    <w:rsid w:val="006A2270"/>
    <w:rsid w:val="006A5102"/>
    <w:rsid w:val="006B01B9"/>
    <w:rsid w:val="006B434D"/>
    <w:rsid w:val="006B7110"/>
    <w:rsid w:val="006C63A1"/>
    <w:rsid w:val="006C7E9E"/>
    <w:rsid w:val="006D4659"/>
    <w:rsid w:val="006D78C7"/>
    <w:rsid w:val="00700AFC"/>
    <w:rsid w:val="00713905"/>
    <w:rsid w:val="007335C7"/>
    <w:rsid w:val="00762AD4"/>
    <w:rsid w:val="007753B5"/>
    <w:rsid w:val="00795DD0"/>
    <w:rsid w:val="007A1B93"/>
    <w:rsid w:val="007A5A1C"/>
    <w:rsid w:val="007A5B15"/>
    <w:rsid w:val="007E2D68"/>
    <w:rsid w:val="007F2FA4"/>
    <w:rsid w:val="007F50D2"/>
    <w:rsid w:val="007F6CFF"/>
    <w:rsid w:val="0080134B"/>
    <w:rsid w:val="00810E63"/>
    <w:rsid w:val="008500C0"/>
    <w:rsid w:val="00853B53"/>
    <w:rsid w:val="0086229F"/>
    <w:rsid w:val="00875519"/>
    <w:rsid w:val="00887AB5"/>
    <w:rsid w:val="008B08E1"/>
    <w:rsid w:val="008C4361"/>
    <w:rsid w:val="008E59BA"/>
    <w:rsid w:val="008F24CF"/>
    <w:rsid w:val="009148C4"/>
    <w:rsid w:val="00915EE0"/>
    <w:rsid w:val="009478BD"/>
    <w:rsid w:val="009536BA"/>
    <w:rsid w:val="009618ED"/>
    <w:rsid w:val="0096632C"/>
    <w:rsid w:val="009737E5"/>
    <w:rsid w:val="00976630"/>
    <w:rsid w:val="009953E6"/>
    <w:rsid w:val="009A44B6"/>
    <w:rsid w:val="009A57D0"/>
    <w:rsid w:val="009B5DB8"/>
    <w:rsid w:val="009D205B"/>
    <w:rsid w:val="009D2CFB"/>
    <w:rsid w:val="009E0E75"/>
    <w:rsid w:val="009E714D"/>
    <w:rsid w:val="009F2E57"/>
    <w:rsid w:val="00A271AD"/>
    <w:rsid w:val="00A33EFC"/>
    <w:rsid w:val="00A3405C"/>
    <w:rsid w:val="00A37DE6"/>
    <w:rsid w:val="00A82028"/>
    <w:rsid w:val="00A84C8A"/>
    <w:rsid w:val="00AC0FFF"/>
    <w:rsid w:val="00AC115F"/>
    <w:rsid w:val="00AC7F2C"/>
    <w:rsid w:val="00B10F68"/>
    <w:rsid w:val="00B211BB"/>
    <w:rsid w:val="00B32CF1"/>
    <w:rsid w:val="00B45008"/>
    <w:rsid w:val="00B84CAE"/>
    <w:rsid w:val="00B959DE"/>
    <w:rsid w:val="00BD0ADC"/>
    <w:rsid w:val="00BD79F8"/>
    <w:rsid w:val="00C13664"/>
    <w:rsid w:val="00C42251"/>
    <w:rsid w:val="00C50800"/>
    <w:rsid w:val="00CC0997"/>
    <w:rsid w:val="00CC10B7"/>
    <w:rsid w:val="00D06D53"/>
    <w:rsid w:val="00D22723"/>
    <w:rsid w:val="00D57D9E"/>
    <w:rsid w:val="00D85882"/>
    <w:rsid w:val="00DA6CF3"/>
    <w:rsid w:val="00DB4129"/>
    <w:rsid w:val="00DC6A7C"/>
    <w:rsid w:val="00DE0475"/>
    <w:rsid w:val="00E07D11"/>
    <w:rsid w:val="00E25CB6"/>
    <w:rsid w:val="00E34141"/>
    <w:rsid w:val="00E40DA6"/>
    <w:rsid w:val="00E555C1"/>
    <w:rsid w:val="00E562C3"/>
    <w:rsid w:val="00E66E37"/>
    <w:rsid w:val="00E7788A"/>
    <w:rsid w:val="00E86CFE"/>
    <w:rsid w:val="00E919BD"/>
    <w:rsid w:val="00E959E7"/>
    <w:rsid w:val="00EA06D8"/>
    <w:rsid w:val="00EA5FD2"/>
    <w:rsid w:val="00EB28F0"/>
    <w:rsid w:val="00ED44AF"/>
    <w:rsid w:val="00ED598A"/>
    <w:rsid w:val="00EE6AC8"/>
    <w:rsid w:val="00F01914"/>
    <w:rsid w:val="00F02195"/>
    <w:rsid w:val="00F17F1E"/>
    <w:rsid w:val="00F273A8"/>
    <w:rsid w:val="00F40C9D"/>
    <w:rsid w:val="00F41D95"/>
    <w:rsid w:val="00F43EA8"/>
    <w:rsid w:val="00F45382"/>
    <w:rsid w:val="00F5398D"/>
    <w:rsid w:val="00F57013"/>
    <w:rsid w:val="00F96556"/>
    <w:rsid w:val="00FC1924"/>
    <w:rsid w:val="00FC314A"/>
    <w:rsid w:val="00FD2C84"/>
    <w:rsid w:val="00FE0DF7"/>
    <w:rsid w:val="00FE705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3CCED90"/>
  <w15:docId w15:val="{73C91276-5BF1-4130-99BA-33CFCE4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A1"/>
    <w:pPr>
      <w:spacing w:after="0" w:line="240" w:lineRule="atLeast"/>
    </w:pPr>
    <w:rPr>
      <w:color w:val="63666A" w:themeColor="text2"/>
      <w:spacing w:val="-2"/>
      <w:sz w:val="20"/>
    </w:rPr>
  </w:style>
  <w:style w:type="paragraph" w:styleId="Heading1">
    <w:name w:val="heading 1"/>
    <w:basedOn w:val="Normal"/>
    <w:next w:val="Normal"/>
    <w:link w:val="Heading1Char"/>
    <w:uiPriority w:val="9"/>
    <w:qFormat/>
    <w:rsid w:val="00A33EFC"/>
    <w:pPr>
      <w:keepNext/>
      <w:keepLines/>
      <w:spacing w:line="460" w:lineRule="atLeast"/>
      <w:ind w:right="2494"/>
      <w:outlineLvl w:val="0"/>
    </w:pPr>
    <w:rPr>
      <w:rFonts w:asciiTheme="majorHAnsi" w:eastAsiaTheme="majorEastAsia" w:hAnsiTheme="majorHAnsi" w:cstheme="majorBidi"/>
      <w:bCs/>
      <w:color w:val="DD0A30" w:themeColor="accent2"/>
      <w:sz w:val="44"/>
      <w:szCs w:val="28"/>
    </w:rPr>
  </w:style>
  <w:style w:type="paragraph" w:styleId="Heading2">
    <w:name w:val="heading 2"/>
    <w:basedOn w:val="Normal"/>
    <w:next w:val="Normal"/>
    <w:link w:val="Heading2Char"/>
    <w:uiPriority w:val="9"/>
    <w:unhideWhenUsed/>
    <w:qFormat/>
    <w:rsid w:val="00976630"/>
    <w:pPr>
      <w:keepNext/>
      <w:keepLines/>
      <w:pBdr>
        <w:bottom w:val="single" w:sz="4" w:space="7" w:color="63666A" w:themeColor="text2"/>
      </w:pBdr>
      <w:spacing w:after="280" w:line="460" w:lineRule="atLeast"/>
      <w:ind w:right="-675"/>
      <w:outlineLvl w:val="1"/>
    </w:pPr>
    <w:rPr>
      <w:rFonts w:asciiTheme="majorHAnsi" w:eastAsiaTheme="majorEastAsia" w:hAnsiTheme="majorHAnsi" w:cstheme="majorBidi"/>
      <w:bCs/>
      <w:sz w:val="44"/>
      <w:szCs w:val="26"/>
    </w:rPr>
  </w:style>
  <w:style w:type="paragraph" w:styleId="Heading3">
    <w:name w:val="heading 3"/>
    <w:basedOn w:val="Normal"/>
    <w:next w:val="Normal"/>
    <w:link w:val="Heading3Char"/>
    <w:uiPriority w:val="9"/>
    <w:unhideWhenUsed/>
    <w:qFormat/>
    <w:rsid w:val="009E0E75"/>
    <w:pPr>
      <w:keepNext/>
      <w:keepLines/>
      <w:spacing w:after="360" w:line="320" w:lineRule="atLeast"/>
      <w:contextualSpacing/>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unhideWhenUsed/>
    <w:qFormat/>
    <w:rsid w:val="00581216"/>
    <w:pPr>
      <w:spacing w:before="200"/>
      <w:outlineLvl w:val="3"/>
    </w:pPr>
    <w:rPr>
      <w:b/>
    </w:rPr>
  </w:style>
  <w:style w:type="paragraph" w:styleId="Heading5">
    <w:name w:val="heading 5"/>
    <w:basedOn w:val="Heading4"/>
    <w:next w:val="Normal"/>
    <w:link w:val="Heading5Char"/>
    <w:uiPriority w:val="9"/>
    <w:unhideWhenUsed/>
    <w:rsid w:val="00F01914"/>
    <w:pPr>
      <w:spacing w:before="0"/>
      <w:outlineLvl w:val="4"/>
    </w:pPr>
  </w:style>
  <w:style w:type="paragraph" w:styleId="Heading6">
    <w:name w:val="heading 6"/>
    <w:basedOn w:val="Heading5"/>
    <w:next w:val="Normal"/>
    <w:link w:val="Heading6Char"/>
    <w:uiPriority w:val="9"/>
    <w:unhideWhenUsed/>
    <w:qFormat/>
    <w:rsid w:val="00F0191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EFC"/>
    <w:rPr>
      <w:rFonts w:asciiTheme="majorHAnsi" w:eastAsiaTheme="majorEastAsia" w:hAnsiTheme="majorHAnsi" w:cstheme="majorBidi"/>
      <w:bCs/>
      <w:color w:val="DD0A30" w:themeColor="accent2"/>
      <w:sz w:val="44"/>
      <w:szCs w:val="28"/>
    </w:rPr>
  </w:style>
  <w:style w:type="character" w:customStyle="1" w:styleId="Heading2Char">
    <w:name w:val="Heading 2 Char"/>
    <w:basedOn w:val="DefaultParagraphFont"/>
    <w:link w:val="Heading2"/>
    <w:uiPriority w:val="9"/>
    <w:rsid w:val="00976630"/>
    <w:rPr>
      <w:rFonts w:asciiTheme="majorHAnsi" w:eastAsiaTheme="majorEastAsia" w:hAnsiTheme="majorHAnsi" w:cstheme="majorBidi"/>
      <w:bCs/>
      <w:color w:val="63666A" w:themeColor="text2"/>
      <w:sz w:val="44"/>
      <w:szCs w:val="26"/>
    </w:rPr>
  </w:style>
  <w:style w:type="paragraph" w:styleId="BodyText">
    <w:name w:val="Body Text"/>
    <w:basedOn w:val="Normal"/>
    <w:link w:val="BodyTextChar"/>
    <w:uiPriority w:val="99"/>
    <w:unhideWhenUsed/>
    <w:qFormat/>
    <w:rsid w:val="00B84CAE"/>
    <w:rPr>
      <w:sz w:val="18"/>
    </w:rPr>
  </w:style>
  <w:style w:type="character" w:customStyle="1" w:styleId="BodyTextChar">
    <w:name w:val="Body Text Char"/>
    <w:basedOn w:val="DefaultParagraphFont"/>
    <w:link w:val="BodyText"/>
    <w:uiPriority w:val="99"/>
    <w:rsid w:val="00B84CAE"/>
    <w:rPr>
      <w:color w:val="63666A" w:themeColor="text2"/>
      <w:sz w:val="18"/>
    </w:rPr>
  </w:style>
  <w:style w:type="character" w:customStyle="1" w:styleId="Heading3Char">
    <w:name w:val="Heading 3 Char"/>
    <w:basedOn w:val="DefaultParagraphFont"/>
    <w:link w:val="Heading3"/>
    <w:uiPriority w:val="9"/>
    <w:rsid w:val="009E0E75"/>
    <w:rPr>
      <w:rFonts w:asciiTheme="majorHAnsi" w:eastAsiaTheme="majorEastAsia" w:hAnsiTheme="majorHAnsi" w:cstheme="majorBidi"/>
      <w:bCs/>
      <w:color w:val="63666A" w:themeColor="text2"/>
      <w:spacing w:val="-2"/>
      <w:sz w:val="28"/>
    </w:rPr>
  </w:style>
  <w:style w:type="paragraph" w:styleId="Header">
    <w:name w:val="header"/>
    <w:basedOn w:val="Normal"/>
    <w:link w:val="HeaderChar"/>
    <w:uiPriority w:val="99"/>
    <w:unhideWhenUsed/>
    <w:rsid w:val="001268B3"/>
    <w:pPr>
      <w:tabs>
        <w:tab w:val="center" w:pos="4513"/>
        <w:tab w:val="right" w:pos="9026"/>
      </w:tabs>
      <w:spacing w:line="180" w:lineRule="atLeast"/>
    </w:pPr>
    <w:rPr>
      <w:sz w:val="16"/>
    </w:rPr>
  </w:style>
  <w:style w:type="character" w:customStyle="1" w:styleId="HeaderChar">
    <w:name w:val="Header Char"/>
    <w:basedOn w:val="DefaultParagraphFont"/>
    <w:link w:val="Header"/>
    <w:uiPriority w:val="99"/>
    <w:rsid w:val="001268B3"/>
    <w:rPr>
      <w:color w:val="63666A" w:themeColor="text2"/>
      <w:sz w:val="16"/>
    </w:rPr>
  </w:style>
  <w:style w:type="paragraph" w:styleId="Footer">
    <w:name w:val="footer"/>
    <w:basedOn w:val="Normal"/>
    <w:link w:val="FooterChar"/>
    <w:uiPriority w:val="99"/>
    <w:unhideWhenUsed/>
    <w:rsid w:val="004D3ABB"/>
    <w:pPr>
      <w:tabs>
        <w:tab w:val="center" w:pos="4513"/>
        <w:tab w:val="right" w:pos="9026"/>
      </w:tabs>
      <w:spacing w:line="180" w:lineRule="atLeast"/>
    </w:pPr>
    <w:rPr>
      <w:sz w:val="16"/>
    </w:rPr>
  </w:style>
  <w:style w:type="character" w:customStyle="1" w:styleId="FooterChar">
    <w:name w:val="Footer Char"/>
    <w:basedOn w:val="DefaultParagraphFont"/>
    <w:link w:val="Footer"/>
    <w:uiPriority w:val="99"/>
    <w:rsid w:val="004D3ABB"/>
    <w:rPr>
      <w:color w:val="63666A" w:themeColor="text2"/>
      <w:sz w:val="16"/>
    </w:rPr>
  </w:style>
  <w:style w:type="paragraph" w:styleId="BalloonText">
    <w:name w:val="Balloon Text"/>
    <w:basedOn w:val="Normal"/>
    <w:link w:val="BalloonTextChar"/>
    <w:uiPriority w:val="99"/>
    <w:semiHidden/>
    <w:unhideWhenUsed/>
    <w:rsid w:val="001268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8B3"/>
    <w:rPr>
      <w:rFonts w:ascii="Tahoma" w:hAnsi="Tahoma" w:cs="Tahoma"/>
      <w:color w:val="63666A" w:themeColor="text2"/>
      <w:sz w:val="16"/>
      <w:szCs w:val="16"/>
    </w:rPr>
  </w:style>
  <w:style w:type="table" w:styleId="TableGrid">
    <w:name w:val="Table Grid"/>
    <w:basedOn w:val="TableNormal"/>
    <w:uiPriority w:val="39"/>
    <w:rsid w:val="0012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3B53"/>
    <w:pPr>
      <w:spacing w:line="460" w:lineRule="atLeast"/>
    </w:pPr>
    <w:rPr>
      <w:rFonts w:asciiTheme="majorHAnsi" w:eastAsiaTheme="majorEastAsia" w:hAnsiTheme="majorHAnsi" w:cstheme="majorBidi"/>
      <w:color w:val="4A4C4F" w:themeColor="text2" w:themeShade="BF"/>
      <w:spacing w:val="5"/>
      <w:kern w:val="28"/>
      <w:sz w:val="44"/>
      <w:szCs w:val="52"/>
    </w:rPr>
  </w:style>
  <w:style w:type="character" w:customStyle="1" w:styleId="TitleChar">
    <w:name w:val="Title Char"/>
    <w:basedOn w:val="DefaultParagraphFont"/>
    <w:link w:val="Title"/>
    <w:uiPriority w:val="10"/>
    <w:rsid w:val="00853B53"/>
    <w:rPr>
      <w:rFonts w:asciiTheme="majorHAnsi" w:eastAsiaTheme="majorEastAsia" w:hAnsiTheme="majorHAnsi" w:cstheme="majorBidi"/>
      <w:color w:val="4A4C4F" w:themeColor="text2" w:themeShade="BF"/>
      <w:spacing w:val="5"/>
      <w:kern w:val="28"/>
      <w:sz w:val="44"/>
      <w:szCs w:val="52"/>
    </w:rPr>
  </w:style>
  <w:style w:type="paragraph" w:styleId="Subtitle">
    <w:name w:val="Subtitle"/>
    <w:basedOn w:val="Normal"/>
    <w:next w:val="Normal"/>
    <w:link w:val="SubtitleChar"/>
    <w:uiPriority w:val="11"/>
    <w:qFormat/>
    <w:rsid w:val="00DC6A7C"/>
    <w:pPr>
      <w:numPr>
        <w:ilvl w:val="1"/>
      </w:numPr>
      <w:spacing w:after="240" w:line="460" w:lineRule="atLeast"/>
      <w:contextualSpacing/>
    </w:pPr>
    <w:rPr>
      <w:rFonts w:asciiTheme="majorHAnsi" w:eastAsiaTheme="majorEastAsia" w:hAnsiTheme="majorHAnsi" w:cstheme="majorBidi"/>
      <w:iCs/>
      <w:color w:val="7F7F7F" w:themeColor="text1" w:themeTint="80"/>
      <w:spacing w:val="15"/>
      <w:sz w:val="44"/>
      <w:szCs w:val="24"/>
    </w:rPr>
  </w:style>
  <w:style w:type="character" w:customStyle="1" w:styleId="SubtitleChar">
    <w:name w:val="Subtitle Char"/>
    <w:basedOn w:val="DefaultParagraphFont"/>
    <w:link w:val="Subtitle"/>
    <w:uiPriority w:val="11"/>
    <w:rsid w:val="00DC6A7C"/>
    <w:rPr>
      <w:rFonts w:asciiTheme="majorHAnsi" w:eastAsiaTheme="majorEastAsia" w:hAnsiTheme="majorHAnsi" w:cstheme="majorBidi"/>
      <w:iCs/>
      <w:color w:val="7F7F7F" w:themeColor="text1" w:themeTint="80"/>
      <w:spacing w:val="15"/>
      <w:sz w:val="44"/>
      <w:szCs w:val="24"/>
    </w:rPr>
  </w:style>
  <w:style w:type="character" w:customStyle="1" w:styleId="Heading4Char">
    <w:name w:val="Heading 4 Char"/>
    <w:basedOn w:val="DefaultParagraphFont"/>
    <w:link w:val="Heading4"/>
    <w:uiPriority w:val="9"/>
    <w:rsid w:val="00581216"/>
    <w:rPr>
      <w:b/>
      <w:color w:val="63666A" w:themeColor="text2"/>
      <w:sz w:val="20"/>
    </w:rPr>
  </w:style>
  <w:style w:type="character" w:customStyle="1" w:styleId="Heading5Char">
    <w:name w:val="Heading 5 Char"/>
    <w:basedOn w:val="DefaultParagraphFont"/>
    <w:link w:val="Heading5"/>
    <w:uiPriority w:val="9"/>
    <w:rsid w:val="00F01914"/>
    <w:rPr>
      <w:b/>
      <w:color w:val="63666A" w:themeColor="text2"/>
      <w:sz w:val="20"/>
    </w:rPr>
  </w:style>
  <w:style w:type="character" w:customStyle="1" w:styleId="Heading6Char">
    <w:name w:val="Heading 6 Char"/>
    <w:basedOn w:val="DefaultParagraphFont"/>
    <w:link w:val="Heading6"/>
    <w:uiPriority w:val="9"/>
    <w:rsid w:val="00F01914"/>
    <w:rPr>
      <w:b/>
      <w:color w:val="63666A" w:themeColor="text2"/>
      <w:sz w:val="20"/>
    </w:rPr>
  </w:style>
  <w:style w:type="character" w:styleId="Hyperlink">
    <w:name w:val="Hyperlink"/>
    <w:basedOn w:val="DefaultParagraphFont"/>
    <w:uiPriority w:val="99"/>
    <w:unhideWhenUsed/>
    <w:rsid w:val="00522C7D"/>
    <w:rPr>
      <w:color w:val="D0D0CE" w:themeColor="hyperlink"/>
      <w:u w:val="single"/>
    </w:rPr>
  </w:style>
  <w:style w:type="paragraph" w:customStyle="1" w:styleId="BodyTextBold">
    <w:name w:val="Body Text Bold"/>
    <w:basedOn w:val="BodyText"/>
    <w:qFormat/>
    <w:rsid w:val="00206A4B"/>
    <w:pPr>
      <w:spacing w:line="360" w:lineRule="auto"/>
    </w:pPr>
    <w:rPr>
      <w:sz w:val="22"/>
    </w:rPr>
  </w:style>
  <w:style w:type="paragraph" w:customStyle="1" w:styleId="ContentsStyle">
    <w:name w:val="Contents Style"/>
    <w:basedOn w:val="Heading1"/>
    <w:qFormat/>
    <w:rsid w:val="00DC6A7C"/>
    <w:pPr>
      <w:spacing w:after="720"/>
      <w:ind w:right="2495"/>
    </w:pPr>
  </w:style>
  <w:style w:type="paragraph" w:customStyle="1" w:styleId="FooterBold">
    <w:name w:val="Footer Bold"/>
    <w:basedOn w:val="Footer"/>
    <w:qFormat/>
    <w:rsid w:val="00057E17"/>
    <w:rPr>
      <w:b/>
    </w:rPr>
  </w:style>
  <w:style w:type="paragraph" w:styleId="TOC1">
    <w:name w:val="toc 1"/>
    <w:basedOn w:val="Normal"/>
    <w:next w:val="Normal"/>
    <w:autoRedefine/>
    <w:uiPriority w:val="39"/>
    <w:unhideWhenUsed/>
    <w:rsid w:val="000428E9"/>
    <w:pPr>
      <w:tabs>
        <w:tab w:val="right" w:pos="9639"/>
      </w:tabs>
      <w:ind w:right="226"/>
    </w:pPr>
    <w:rPr>
      <w:b/>
      <w:noProof/>
      <w:color w:val="DD0A30" w:themeColor="accent2"/>
    </w:rPr>
  </w:style>
  <w:style w:type="paragraph" w:styleId="TOC2">
    <w:name w:val="toc 2"/>
    <w:basedOn w:val="Normal"/>
    <w:next w:val="Normal"/>
    <w:autoRedefine/>
    <w:uiPriority w:val="39"/>
    <w:unhideWhenUsed/>
    <w:rsid w:val="000428E9"/>
    <w:pPr>
      <w:tabs>
        <w:tab w:val="right" w:pos="9639"/>
      </w:tabs>
      <w:spacing w:after="120"/>
      <w:ind w:right="226"/>
    </w:pPr>
    <w:rPr>
      <w:noProof/>
    </w:rPr>
  </w:style>
  <w:style w:type="paragraph" w:styleId="ListParagraph">
    <w:name w:val="List Paragraph"/>
    <w:basedOn w:val="Normal"/>
    <w:uiPriority w:val="34"/>
    <w:rsid w:val="00E562C3"/>
    <w:pPr>
      <w:ind w:left="720"/>
      <w:contextualSpacing/>
    </w:pPr>
  </w:style>
  <w:style w:type="paragraph" w:styleId="FootnoteText">
    <w:name w:val="footnote text"/>
    <w:basedOn w:val="Normal"/>
    <w:link w:val="FootnoteTextChar"/>
    <w:uiPriority w:val="99"/>
    <w:semiHidden/>
    <w:unhideWhenUsed/>
    <w:rsid w:val="007F2FA4"/>
    <w:pPr>
      <w:spacing w:line="240" w:lineRule="auto"/>
    </w:pPr>
    <w:rPr>
      <w:szCs w:val="20"/>
    </w:rPr>
  </w:style>
  <w:style w:type="character" w:customStyle="1" w:styleId="FootnoteTextChar">
    <w:name w:val="Footnote Text Char"/>
    <w:basedOn w:val="DefaultParagraphFont"/>
    <w:link w:val="FootnoteText"/>
    <w:uiPriority w:val="99"/>
    <w:semiHidden/>
    <w:rsid w:val="007F2FA4"/>
    <w:rPr>
      <w:color w:val="63666A" w:themeColor="text2"/>
      <w:spacing w:val="-2"/>
      <w:sz w:val="20"/>
      <w:szCs w:val="20"/>
    </w:rPr>
  </w:style>
  <w:style w:type="character" w:styleId="FootnoteReference">
    <w:name w:val="footnote reference"/>
    <w:basedOn w:val="DefaultParagraphFont"/>
    <w:uiPriority w:val="99"/>
    <w:semiHidden/>
    <w:unhideWhenUsed/>
    <w:rsid w:val="007F2FA4"/>
    <w:rPr>
      <w:vertAlign w:val="superscript"/>
    </w:rPr>
  </w:style>
  <w:style w:type="character" w:styleId="CommentReference">
    <w:name w:val="annotation reference"/>
    <w:basedOn w:val="DefaultParagraphFont"/>
    <w:uiPriority w:val="99"/>
    <w:semiHidden/>
    <w:unhideWhenUsed/>
    <w:rsid w:val="00384603"/>
    <w:rPr>
      <w:sz w:val="16"/>
      <w:szCs w:val="16"/>
    </w:rPr>
  </w:style>
  <w:style w:type="paragraph" w:styleId="CommentText">
    <w:name w:val="annotation text"/>
    <w:basedOn w:val="Normal"/>
    <w:link w:val="CommentTextChar"/>
    <w:uiPriority w:val="99"/>
    <w:semiHidden/>
    <w:unhideWhenUsed/>
    <w:rsid w:val="00384603"/>
    <w:pPr>
      <w:spacing w:line="240" w:lineRule="auto"/>
    </w:pPr>
    <w:rPr>
      <w:szCs w:val="20"/>
    </w:rPr>
  </w:style>
  <w:style w:type="character" w:customStyle="1" w:styleId="CommentTextChar">
    <w:name w:val="Comment Text Char"/>
    <w:basedOn w:val="DefaultParagraphFont"/>
    <w:link w:val="CommentText"/>
    <w:uiPriority w:val="99"/>
    <w:semiHidden/>
    <w:rsid w:val="00384603"/>
    <w:rPr>
      <w:color w:val="63666A" w:themeColor="text2"/>
      <w:spacing w:val="-2"/>
      <w:sz w:val="20"/>
      <w:szCs w:val="20"/>
    </w:rPr>
  </w:style>
  <w:style w:type="paragraph" w:styleId="CommentSubject">
    <w:name w:val="annotation subject"/>
    <w:basedOn w:val="CommentText"/>
    <w:next w:val="CommentText"/>
    <w:link w:val="CommentSubjectChar"/>
    <w:uiPriority w:val="99"/>
    <w:semiHidden/>
    <w:unhideWhenUsed/>
    <w:rsid w:val="00384603"/>
    <w:rPr>
      <w:b/>
      <w:bCs/>
    </w:rPr>
  </w:style>
  <w:style w:type="character" w:customStyle="1" w:styleId="CommentSubjectChar">
    <w:name w:val="Comment Subject Char"/>
    <w:basedOn w:val="CommentTextChar"/>
    <w:link w:val="CommentSubject"/>
    <w:uiPriority w:val="99"/>
    <w:semiHidden/>
    <w:rsid w:val="00384603"/>
    <w:rPr>
      <w:b/>
      <w:bCs/>
      <w:color w:val="63666A" w:themeColor="text2"/>
      <w:spacing w:val="-2"/>
      <w:sz w:val="20"/>
      <w:szCs w:val="20"/>
    </w:rPr>
  </w:style>
  <w:style w:type="paragraph" w:styleId="NormalWeb">
    <w:name w:val="Normal (Web)"/>
    <w:basedOn w:val="Normal"/>
    <w:uiPriority w:val="99"/>
    <w:semiHidden/>
    <w:unhideWhenUsed/>
    <w:rsid w:val="009F2E57"/>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table" w:styleId="LightShading-Accent3">
    <w:name w:val="Light Shading Accent 3"/>
    <w:basedOn w:val="TableNormal"/>
    <w:uiPriority w:val="60"/>
    <w:rsid w:val="009737E5"/>
    <w:pPr>
      <w:spacing w:after="0" w:line="240" w:lineRule="auto"/>
    </w:pPr>
    <w:rPr>
      <w:color w:val="911E26" w:themeColor="accent3" w:themeShade="BF"/>
    </w:rPr>
    <w:tblPr>
      <w:tblStyleRowBandSize w:val="1"/>
      <w:tblStyleColBandSize w:val="1"/>
      <w:tblBorders>
        <w:top w:val="single" w:sz="8" w:space="0" w:color="C32934" w:themeColor="accent3"/>
        <w:bottom w:val="single" w:sz="8" w:space="0" w:color="C32934" w:themeColor="accent3"/>
      </w:tblBorders>
    </w:tblPr>
    <w:tblStylePr w:type="firstRow">
      <w:pPr>
        <w:spacing w:before="0" w:after="0" w:line="240" w:lineRule="auto"/>
      </w:pPr>
      <w:rPr>
        <w:b/>
        <w:bCs/>
      </w:rPr>
      <w:tblPr/>
      <w:tcPr>
        <w:tcBorders>
          <w:top w:val="single" w:sz="8" w:space="0" w:color="C32934" w:themeColor="accent3"/>
          <w:left w:val="nil"/>
          <w:bottom w:val="single" w:sz="8" w:space="0" w:color="C32934" w:themeColor="accent3"/>
          <w:right w:val="nil"/>
          <w:insideH w:val="nil"/>
          <w:insideV w:val="nil"/>
        </w:tcBorders>
      </w:tcPr>
    </w:tblStylePr>
    <w:tblStylePr w:type="lastRow">
      <w:pPr>
        <w:spacing w:before="0" w:after="0" w:line="240" w:lineRule="auto"/>
      </w:pPr>
      <w:rPr>
        <w:b/>
        <w:bCs/>
      </w:rPr>
      <w:tblPr/>
      <w:tcPr>
        <w:tcBorders>
          <w:top w:val="single" w:sz="8" w:space="0" w:color="C32934" w:themeColor="accent3"/>
          <w:left w:val="nil"/>
          <w:bottom w:val="single" w:sz="8" w:space="0" w:color="C3293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6C9" w:themeFill="accent3" w:themeFillTint="3F"/>
      </w:tcPr>
    </w:tblStylePr>
    <w:tblStylePr w:type="band1Horz">
      <w:tblPr/>
      <w:tcPr>
        <w:tcBorders>
          <w:left w:val="nil"/>
          <w:right w:val="nil"/>
          <w:insideH w:val="nil"/>
          <w:insideV w:val="nil"/>
        </w:tcBorders>
        <w:shd w:val="clear" w:color="auto" w:fill="F3C6C9" w:themeFill="accent3" w:themeFillTint="3F"/>
      </w:tcPr>
    </w:tblStylePr>
  </w:style>
  <w:style w:type="paragraph" w:styleId="Revision">
    <w:name w:val="Revision"/>
    <w:hidden/>
    <w:uiPriority w:val="99"/>
    <w:semiHidden/>
    <w:rsid w:val="00E07D11"/>
    <w:pPr>
      <w:spacing w:after="0" w:line="240" w:lineRule="auto"/>
    </w:pPr>
    <w:rPr>
      <w:color w:val="63666A" w:themeColor="text2"/>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1735">
      <w:bodyDiv w:val="1"/>
      <w:marLeft w:val="0"/>
      <w:marRight w:val="0"/>
      <w:marTop w:val="0"/>
      <w:marBottom w:val="0"/>
      <w:divBdr>
        <w:top w:val="none" w:sz="0" w:space="0" w:color="auto"/>
        <w:left w:val="none" w:sz="0" w:space="0" w:color="auto"/>
        <w:bottom w:val="none" w:sz="0" w:space="0" w:color="auto"/>
        <w:right w:val="none" w:sz="0" w:space="0" w:color="auto"/>
      </w:divBdr>
    </w:div>
    <w:div w:id="1179584444">
      <w:bodyDiv w:val="1"/>
      <w:marLeft w:val="0"/>
      <w:marRight w:val="0"/>
      <w:marTop w:val="0"/>
      <w:marBottom w:val="0"/>
      <w:divBdr>
        <w:top w:val="none" w:sz="0" w:space="0" w:color="auto"/>
        <w:left w:val="none" w:sz="0" w:space="0" w:color="auto"/>
        <w:bottom w:val="none" w:sz="0" w:space="0" w:color="auto"/>
        <w:right w:val="none" w:sz="0" w:space="0" w:color="auto"/>
      </w:divBdr>
    </w:div>
    <w:div w:id="13354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s.page\AppData\Local\Temp\OneNote\14.0\NT\0-4\PS_Report_Theme_Red.dotx" TargetMode="External"/></Relationships>
</file>

<file path=word/theme/theme1.xml><?xml version="1.0" encoding="utf-8"?>
<a:theme xmlns:a="http://schemas.openxmlformats.org/drawingml/2006/main" name="Office Theme">
  <a:themeElements>
    <a:clrScheme name="PS Red Theme">
      <a:dk1>
        <a:sysClr val="windowText" lastClr="000000"/>
      </a:dk1>
      <a:lt1>
        <a:sysClr val="window" lastClr="FFFFFF"/>
      </a:lt1>
      <a:dk2>
        <a:srgbClr val="63666A"/>
      </a:dk2>
      <a:lt2>
        <a:srgbClr val="D0D0CE"/>
      </a:lt2>
      <a:accent1>
        <a:srgbClr val="A7163B"/>
      </a:accent1>
      <a:accent2>
        <a:srgbClr val="DD0A30"/>
      </a:accent2>
      <a:accent3>
        <a:srgbClr val="C32934"/>
      </a:accent3>
      <a:accent4>
        <a:srgbClr val="E43B5A"/>
      </a:accent4>
      <a:accent5>
        <a:srgbClr val="000000"/>
      </a:accent5>
      <a:accent6>
        <a:srgbClr val="63666A"/>
      </a:accent6>
      <a:hlink>
        <a:srgbClr val="D0D0CE"/>
      </a:hlink>
      <a:folHlink>
        <a:srgbClr val="FFFFFF"/>
      </a:folHlink>
    </a:clrScheme>
    <a:fontScheme name="PS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2414-E639-4B69-96CC-09112BB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PS_Report_Theme_Red</Template>
  <TotalTime>11</TotalTime>
  <Pages>9</Pages>
  <Words>2026</Words>
  <Characters>11185</Characters>
  <Application>Microsoft Office Word</Application>
  <DocSecurity>0</DocSecurity>
  <Lines>302</Lines>
  <Paragraphs>114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nicolas.page</dc:creator>
  <cp:lastModifiedBy>Azizul Karim - Built Heritage Consultant</cp:lastModifiedBy>
  <cp:revision>2</cp:revision>
  <cp:lastPrinted>2021-08-16T15:25:00Z</cp:lastPrinted>
  <dcterms:created xsi:type="dcterms:W3CDTF">2023-09-19T12:52:00Z</dcterms:created>
  <dcterms:modified xsi:type="dcterms:W3CDTF">2023-09-19T12:52:00Z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2020-08-28T10:22:00Z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7d23c3bc-14eb-4c53-8a28-00006216bf9f</vt:lpwstr>
  </property>
  <property fmtid="{D5CDD505-2E9C-101B-9397-08002B2CF9AE}" pid="8" name="MSIP_Label_39d8be9e-c8d9-4b9c-bd40-2c27cc7ea2e6_ContentBits">
    <vt:lpwstr>0</vt:lpwstr>
  </property>
</Properties>
</file>